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Mar>
          <w:left w:w="0" w:type="dxa"/>
          <w:right w:w="0" w:type="dxa"/>
        </w:tblCellMar>
        <w:tblLook w:val="04A0" w:firstRow="1" w:lastRow="0" w:firstColumn="1" w:lastColumn="0" w:noHBand="0" w:noVBand="1"/>
      </w:tblPr>
      <w:tblGrid>
        <w:gridCol w:w="2931"/>
        <w:gridCol w:w="2931"/>
        <w:gridCol w:w="3636"/>
      </w:tblGrid>
      <w:tr w:rsidR="009A239A" w:rsidRPr="009A239A" w:rsidTr="00C607C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239A" w:rsidRPr="009A239A" w:rsidRDefault="009A239A" w:rsidP="009A239A">
            <w:pPr>
              <w:spacing w:after="0" w:line="240" w:lineRule="atLeast"/>
              <w:rPr>
                <w:rFonts w:ascii="Times New Roman" w:eastAsia="Times New Roman" w:hAnsi="Times New Roman" w:cs="Times New Roman"/>
                <w:sz w:val="20"/>
                <w:lang w:eastAsia="tr-TR"/>
              </w:rPr>
            </w:pPr>
            <w:r w:rsidRPr="009A239A">
              <w:rPr>
                <w:rFonts w:ascii="Arial" w:eastAsia="Times New Roman" w:hAnsi="Arial" w:cs="Arial"/>
                <w:sz w:val="20"/>
                <w:lang w:eastAsia="tr-TR"/>
              </w:rPr>
              <w:t>25 Ağustos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239A" w:rsidRPr="009A239A" w:rsidRDefault="009A239A" w:rsidP="009A239A">
            <w:pPr>
              <w:spacing w:after="0" w:line="240" w:lineRule="atLeast"/>
              <w:jc w:val="center"/>
              <w:rPr>
                <w:rFonts w:ascii="Times New Roman" w:eastAsia="Times New Roman" w:hAnsi="Times New Roman" w:cs="Times New Roman"/>
                <w:lang w:eastAsia="tr-TR"/>
              </w:rPr>
            </w:pPr>
            <w:r w:rsidRPr="009A239A">
              <w:rPr>
                <w:rFonts w:ascii="Palatino Linotype" w:eastAsia="Times New Roman" w:hAnsi="Palatino Linotype" w:cs="Times New Roman"/>
                <w:b/>
                <w:bCs/>
                <w:color w:val="800080"/>
                <w:lang w:eastAsia="tr-TR"/>
              </w:rPr>
              <w:t>Resmî Gazete</w:t>
            </w:r>
          </w:p>
        </w:tc>
        <w:tc>
          <w:tcPr>
            <w:tcW w:w="3636" w:type="dxa"/>
            <w:tcBorders>
              <w:top w:val="nil"/>
              <w:left w:val="nil"/>
              <w:bottom w:val="single" w:sz="8" w:space="0" w:color="660066"/>
              <w:right w:val="nil"/>
            </w:tcBorders>
            <w:tcMar>
              <w:top w:w="0" w:type="dxa"/>
              <w:left w:w="108" w:type="dxa"/>
              <w:bottom w:w="0" w:type="dxa"/>
              <w:right w:w="108" w:type="dxa"/>
            </w:tcMar>
            <w:vAlign w:val="center"/>
            <w:hideMark/>
          </w:tcPr>
          <w:p w:rsidR="009A239A" w:rsidRPr="009A239A" w:rsidRDefault="009A239A" w:rsidP="009A239A">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9A239A">
              <w:rPr>
                <w:rFonts w:ascii="Arial" w:eastAsia="Times New Roman" w:hAnsi="Arial" w:cs="Arial"/>
                <w:sz w:val="20"/>
                <w:lang w:eastAsia="tr-TR"/>
              </w:rPr>
              <w:t>Sayı : 29812</w:t>
            </w:r>
            <w:proofErr w:type="gramEnd"/>
          </w:p>
        </w:tc>
      </w:tr>
      <w:tr w:rsidR="009A239A" w:rsidRPr="009A239A" w:rsidTr="00C607CB">
        <w:trPr>
          <w:trHeight w:val="480"/>
        </w:trPr>
        <w:tc>
          <w:tcPr>
            <w:tcW w:w="9498" w:type="dxa"/>
            <w:gridSpan w:val="3"/>
            <w:tcMar>
              <w:top w:w="0" w:type="dxa"/>
              <w:left w:w="108" w:type="dxa"/>
              <w:bottom w:w="0" w:type="dxa"/>
              <w:right w:w="108" w:type="dxa"/>
            </w:tcMar>
            <w:vAlign w:val="center"/>
            <w:hideMark/>
          </w:tcPr>
          <w:p w:rsidR="009A239A" w:rsidRPr="009A239A" w:rsidRDefault="009A239A" w:rsidP="009A239A">
            <w:pPr>
              <w:spacing w:before="100" w:beforeAutospacing="1" w:after="100" w:afterAutospacing="1" w:line="240" w:lineRule="auto"/>
              <w:jc w:val="center"/>
              <w:rPr>
                <w:rFonts w:ascii="Times New Roman" w:eastAsia="Times New Roman" w:hAnsi="Times New Roman" w:cs="Times New Roman"/>
                <w:lang w:eastAsia="tr-TR"/>
              </w:rPr>
            </w:pPr>
            <w:r w:rsidRPr="009A239A">
              <w:rPr>
                <w:rFonts w:ascii="Arial" w:eastAsia="Times New Roman" w:hAnsi="Arial" w:cs="Arial"/>
                <w:b/>
                <w:bCs/>
                <w:color w:val="000080"/>
                <w:lang w:eastAsia="tr-TR"/>
              </w:rPr>
              <w:t>KANUN</w:t>
            </w:r>
          </w:p>
        </w:tc>
      </w:tr>
      <w:tr w:rsidR="009A239A" w:rsidRPr="009A239A" w:rsidTr="00C607CB">
        <w:trPr>
          <w:trHeight w:val="480"/>
        </w:trPr>
        <w:tc>
          <w:tcPr>
            <w:tcW w:w="9498" w:type="dxa"/>
            <w:gridSpan w:val="3"/>
            <w:tcMar>
              <w:top w:w="0" w:type="dxa"/>
              <w:left w:w="108" w:type="dxa"/>
              <w:bottom w:w="0" w:type="dxa"/>
              <w:right w:w="108" w:type="dxa"/>
            </w:tcMar>
            <w:vAlign w:val="center"/>
            <w:hideMark/>
          </w:tcPr>
          <w:p w:rsidR="009A239A" w:rsidRPr="009A239A" w:rsidRDefault="009A239A" w:rsidP="00C607CB">
            <w:pPr>
              <w:spacing w:before="240" w:after="240" w:line="240" w:lineRule="auto"/>
              <w:jc w:val="center"/>
              <w:rPr>
                <w:rFonts w:ascii="Times New Roman" w:eastAsia="Times New Roman" w:hAnsi="Times New Roman" w:cs="Times New Roman"/>
                <w:lang w:eastAsia="tr-TR"/>
              </w:rPr>
            </w:pPr>
            <w:r w:rsidRPr="009A239A">
              <w:rPr>
                <w:rFonts w:ascii="Times New Roman" w:eastAsia="Times New Roman" w:hAnsi="Times New Roman" w:cs="Times New Roman"/>
                <w:b/>
                <w:bCs/>
                <w:color w:val="000000"/>
                <w:lang w:eastAsia="tr-TR"/>
              </w:rPr>
              <w:t>BİREYSEL EMEKLİLİK TASARRUF VE YATIRIM SİSTEMİ KANUNUNDA</w:t>
            </w:r>
            <w:r w:rsidRPr="00C607CB">
              <w:rPr>
                <w:rFonts w:ascii="Times New Roman" w:eastAsia="Times New Roman" w:hAnsi="Times New Roman" w:cs="Times New Roman"/>
                <w:b/>
                <w:bCs/>
                <w:color w:val="000000"/>
                <w:lang w:eastAsia="tr-TR"/>
              </w:rPr>
              <w:t> </w:t>
            </w:r>
            <w:r w:rsidRPr="009A239A">
              <w:rPr>
                <w:rFonts w:ascii="Times New Roman" w:eastAsia="Times New Roman" w:hAnsi="Times New Roman" w:cs="Times New Roman"/>
                <w:b/>
                <w:bCs/>
                <w:color w:val="000000"/>
                <w:lang w:eastAsia="tr-TR"/>
              </w:rPr>
              <w:br/>
              <w:t>DEĞİŞİKLİK YAPILMASINA DAİR KANUN</w:t>
            </w:r>
          </w:p>
          <w:p w:rsidR="009A239A" w:rsidRPr="009A239A" w:rsidRDefault="009A239A" w:rsidP="00D22714">
            <w:pPr>
              <w:spacing w:before="240" w:after="240" w:line="240" w:lineRule="auto"/>
              <w:rPr>
                <w:rFonts w:ascii="Times New Roman" w:eastAsia="Times New Roman" w:hAnsi="Times New Roman" w:cs="Times New Roman"/>
                <w:lang w:eastAsia="tr-TR"/>
              </w:rPr>
            </w:pPr>
            <w:r w:rsidRPr="009A239A">
              <w:rPr>
                <w:rFonts w:ascii="Times New Roman" w:eastAsia="Times New Roman" w:hAnsi="Times New Roman" w:cs="Times New Roman"/>
                <w:b/>
                <w:bCs/>
                <w:u w:val="single"/>
                <w:lang w:eastAsia="tr-TR"/>
              </w:rPr>
              <w:t>Kanun No. 6740</w:t>
            </w:r>
            <w:r w:rsidRPr="009A239A">
              <w:rPr>
                <w:rFonts w:ascii="Times New Roman" w:eastAsia="Times New Roman" w:hAnsi="Times New Roman" w:cs="Times New Roman"/>
                <w:b/>
                <w:bCs/>
                <w:lang w:eastAsia="tr-TR"/>
              </w:rPr>
              <w:t>                                                                    </w:t>
            </w:r>
            <w:r w:rsidR="00D22714">
              <w:rPr>
                <w:rFonts w:ascii="Times New Roman" w:eastAsia="Times New Roman" w:hAnsi="Times New Roman" w:cs="Times New Roman"/>
                <w:b/>
                <w:bCs/>
                <w:lang w:eastAsia="tr-TR"/>
              </w:rPr>
              <w:t>                               </w:t>
            </w:r>
            <w:r w:rsidRPr="009A239A">
              <w:rPr>
                <w:rFonts w:ascii="Times New Roman" w:eastAsia="Times New Roman" w:hAnsi="Times New Roman" w:cs="Times New Roman"/>
                <w:b/>
                <w:bCs/>
                <w:u w:val="single"/>
                <w:lang w:eastAsia="tr-TR"/>
              </w:rPr>
              <w:t>Kabul Tarihi:</w:t>
            </w:r>
            <w:r w:rsidRPr="00C607CB">
              <w:rPr>
                <w:rFonts w:ascii="Times New Roman" w:eastAsia="Times New Roman" w:hAnsi="Times New Roman" w:cs="Times New Roman"/>
                <w:b/>
                <w:bCs/>
                <w:u w:val="single"/>
                <w:lang w:eastAsia="tr-TR"/>
              </w:rPr>
              <w:t> </w:t>
            </w:r>
            <w:proofErr w:type="gramStart"/>
            <w:r w:rsidRPr="00C607CB">
              <w:rPr>
                <w:rFonts w:ascii="Times New Roman" w:eastAsia="Times New Roman" w:hAnsi="Times New Roman" w:cs="Times New Roman"/>
                <w:b/>
                <w:bCs/>
                <w:u w:val="single"/>
                <w:lang w:eastAsia="tr-TR"/>
              </w:rPr>
              <w:t>10/8/2016</w:t>
            </w:r>
            <w:proofErr w:type="gramEnd"/>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b/>
                <w:bCs/>
                <w:lang w:eastAsia="tr-TR"/>
              </w:rPr>
              <w:t>MADDE 1-</w:t>
            </w:r>
            <w:r w:rsidRPr="00C607CB">
              <w:rPr>
                <w:rFonts w:ascii="Times New Roman" w:eastAsia="Times New Roman" w:hAnsi="Times New Roman" w:cs="Times New Roman"/>
                <w:lang w:eastAsia="tr-TR"/>
              </w:rPr>
              <w:t> </w:t>
            </w:r>
            <w:proofErr w:type="gramStart"/>
            <w:r w:rsidRPr="00C607CB">
              <w:rPr>
                <w:rFonts w:ascii="Times New Roman" w:eastAsia="Times New Roman" w:hAnsi="Times New Roman" w:cs="Times New Roman"/>
                <w:lang w:eastAsia="tr-TR"/>
              </w:rPr>
              <w:t>28/3/2001</w:t>
            </w:r>
            <w:proofErr w:type="gramEnd"/>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tarihli ve 4632 sayılı Bireysel Emeklilik Tasarruf ve Yatırım Sistemi Kanununa aşağıdaki ek madde eklenmiştir.</w:t>
            </w:r>
            <w:bookmarkStart w:id="0" w:name="_GoBack"/>
            <w:bookmarkEnd w:id="0"/>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“Çalışanların otomatik olarak bir emeklilik planına dâhil edilmesi</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EK MADDE 2- Türk vatandaşı veya</w:t>
            </w:r>
            <w:r w:rsidRPr="00C607CB">
              <w:rPr>
                <w:rFonts w:ascii="Times New Roman" w:eastAsia="Times New Roman" w:hAnsi="Times New Roman" w:cs="Times New Roman"/>
                <w:lang w:eastAsia="tr-TR"/>
              </w:rPr>
              <w:t> </w:t>
            </w:r>
            <w:proofErr w:type="gramStart"/>
            <w:r w:rsidRPr="00C607CB">
              <w:rPr>
                <w:rFonts w:ascii="Times New Roman" w:eastAsia="Times New Roman" w:hAnsi="Times New Roman" w:cs="Times New Roman"/>
                <w:lang w:eastAsia="tr-TR"/>
              </w:rPr>
              <w:t>29/5/2009</w:t>
            </w:r>
            <w:proofErr w:type="gramEnd"/>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tarihli ve 5901 sayılı Türk Vatandaşlığı Kanununun 28 inci maddesi kapsamında olup kırk beş yaşını doldurmamış olanlardan 31/5/2006 tarihli ve 5510 sayılı Sosyal Sigortalar ve Genel Sağlık Sigortası Kanununun 4 üncü maddesinin birinci fıkrasının (a) ve (c) bentlerine göre çalışmaya başlayanlar,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Bakanlar Kurulu, bu madde uyarınca emeklilik planına dâhil edilecek işyerleri ile çalışanları ve bu kapsamdaki uygulama esaslarını belirlemeye yetkilidir.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Çalışan katkı payı, çalışanın 5510 sayılı Kanunun 80 inci maddesi çerçevesinde belirlenen prime esas kazancının yüzde üçüne karşılık gelen tutardır. Bu oranı iki katına kadar artırmaya, yüzde bire kadar azaltmaya veya katkı payına maktu limit getirmeye Bakanlar Kurulu 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Çalışan, emeklilik planına dâhil olduğunun kendisine bildirildiği tarihi müteakip iki ay içinde sözleşmeden cayabilir. 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Müsteşarlıkça belirlenen hâllerde katkı payı ödemesine ara verilmesini talep edebilir.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Bu madde kapsamında bir emeklilik sözleşmesi bulunan çalışanın işyerinin değişmesi hâlinde, yeni işyerinde bu madde kapsamında bir emeklilik planı var ise çalışanın birikimi ve sistemde kazandığı emekliliğe esas süresi yeni işyerindeki emeklilik sözleşmesine aktarılır. Yeni işyerinde emeklilik planının bulunmaması hâlinde çalışan, talep ederse önceki işyerinde düzenlenmiş sözleşme kapsamında katkı payı ödemeye devam edebilir, talep etmezse bu madde kapsamındaki emeklilik sözleşmesi sonlandırılır. Çalışan bu yöndeki talebini, işyeri değişikliğini izleyen ayın sonuna kadar şirkete bildirmek zorundadır.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Bakanlar Kurulu, bu tutarı yarısına kadar artırmaya veya yarısına kadar azaltmaya yetkilidir. Emeklilik hakkının kullanılması hâlinde, hesabında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Müsteşarlık takip ve tahsil sorumluluğunun bu amaçla yetkilendirilecek bir kuruluşça yerine getirilmesine karar verebilir. Bankalar, Sosyal Güvenlik Kurumu ve ilgili diğer kamu kurumları, çalışan katkı payının </w:t>
            </w:r>
            <w:r w:rsidRPr="009A239A">
              <w:rPr>
                <w:rFonts w:ascii="Times New Roman" w:eastAsia="Times New Roman" w:hAnsi="Times New Roman" w:cs="Times New Roman"/>
                <w:lang w:eastAsia="tr-TR"/>
              </w:rPr>
              <w:lastRenderedPageBreak/>
              <w:t>takip ve tahsili ile Devlet katkısının hesaplanması için ihtiyaç duyulan verileri, Müsteşarlıkça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Bu madde kapsamında sunulan emeklilik planları kapsamında şirketlerce 7</w:t>
            </w:r>
            <w:r w:rsidRPr="00C607CB">
              <w:rPr>
                <w:rFonts w:ascii="Times New Roman" w:eastAsia="Times New Roman" w:hAnsi="Times New Roman" w:cs="Times New Roman"/>
                <w:lang w:eastAsia="tr-TR"/>
              </w:rPr>
              <w:t> </w:t>
            </w:r>
            <w:proofErr w:type="spellStart"/>
            <w:r w:rsidRPr="00C607CB">
              <w:rPr>
                <w:rFonts w:ascii="Times New Roman" w:eastAsia="Times New Roman" w:hAnsi="Times New Roman" w:cs="Times New Roman"/>
                <w:lang w:eastAsia="tr-TR"/>
              </w:rPr>
              <w:t>nci</w:t>
            </w:r>
            <w:proofErr w:type="spellEnd"/>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madde uyarınca fon işletim gideri kesintisi dışında başka bir kesinti yapılamaz. Çalışan katkı payı, işverenin taraf olduğu</w:t>
            </w:r>
            <w:r w:rsidRPr="00C607CB">
              <w:rPr>
                <w:rFonts w:ascii="Times New Roman" w:eastAsia="Times New Roman" w:hAnsi="Times New Roman" w:cs="Times New Roman"/>
                <w:lang w:eastAsia="tr-TR"/>
              </w:rPr>
              <w:t> </w:t>
            </w:r>
            <w:proofErr w:type="gramStart"/>
            <w:r w:rsidRPr="00C607CB">
              <w:rPr>
                <w:rFonts w:ascii="Times New Roman" w:eastAsia="Times New Roman" w:hAnsi="Times New Roman" w:cs="Times New Roman"/>
                <w:lang w:eastAsia="tr-TR"/>
              </w:rPr>
              <w:t>9/6/1932</w:t>
            </w:r>
            <w:proofErr w:type="gramEnd"/>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Bakan, belirleyeceği esaslar dâhilinde bu Kanun kapsamındaki Devlet katkısının ilgililerin</w:t>
            </w:r>
            <w:r w:rsidRPr="00C607CB">
              <w:rPr>
                <w:rFonts w:ascii="Times New Roman" w:eastAsia="Times New Roman" w:hAnsi="Times New Roman" w:cs="Times New Roman"/>
                <w:lang w:eastAsia="tr-TR"/>
              </w:rPr>
              <w:t> </w:t>
            </w:r>
            <w:proofErr w:type="spellStart"/>
            <w:r w:rsidRPr="00C607CB">
              <w:rPr>
                <w:rFonts w:ascii="Times New Roman" w:eastAsia="Times New Roman" w:hAnsi="Times New Roman" w:cs="Times New Roman"/>
                <w:lang w:eastAsia="tr-TR"/>
              </w:rPr>
              <w:t>hesaben</w:t>
            </w:r>
            <w:proofErr w:type="spellEnd"/>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takip edebilmesini sağlayacak şekilde taahhüt olarak hesaplanmasına ve taahhüt edilen tutarların ödenmesine karar vermeye ve mevcut katılımcıların Devlet katkılarının değerlendirilmesine ilişkin usul ve esasları belirlemeye yetkilidir. Bakan, bu Kanun uyarınca kurulacak fonların içeriğini belirleyebilir ve fonlara sayı sınırı getirebilir. Bu Kanun uyarınca yapılacak bildirimler, Müsteşarlığın belirleyeceği usul ve esaslar çerçevesinde güvenli elektronik iletişim araçları ile de yapılabilir.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Çalışanın işvereni aracılığıyla bir emeklilik planına dâhil olması, işveren tarafından şirket ve plan belirlenmesinde göz önünde bulundurulacak</w:t>
            </w:r>
            <w:r w:rsidRPr="00C607CB">
              <w:rPr>
                <w:rFonts w:ascii="Times New Roman" w:eastAsia="Times New Roman" w:hAnsi="Times New Roman" w:cs="Times New Roman"/>
                <w:lang w:eastAsia="tr-TR"/>
              </w:rPr>
              <w:t> </w:t>
            </w:r>
            <w:proofErr w:type="gramStart"/>
            <w:r w:rsidRPr="00C607CB">
              <w:rPr>
                <w:rFonts w:ascii="Times New Roman" w:eastAsia="Times New Roman" w:hAnsi="Times New Roman" w:cs="Times New Roman"/>
                <w:lang w:eastAsia="tr-TR"/>
              </w:rPr>
              <w:t>kriterler</w:t>
            </w:r>
            <w:proofErr w:type="gramEnd"/>
            <w:r w:rsidRPr="009A239A">
              <w:rPr>
                <w:rFonts w:ascii="Times New Roman" w:eastAsia="Times New Roman" w:hAnsi="Times New Roman" w:cs="Times New Roman"/>
                <w:lang w:eastAsia="tr-TR"/>
              </w:rPr>
              <w:t>, katkı paylarının yatırıma yönlendirileceği fonlar, işverenin şirket ile yapacağı sözleşme,</w:t>
            </w:r>
            <w:r w:rsidRPr="00C607CB">
              <w:rPr>
                <w:rFonts w:ascii="Calibri" w:eastAsia="Times New Roman" w:hAnsi="Calibri" w:cs="Calibri"/>
                <w:lang w:eastAsia="tr-TR"/>
              </w:rPr>
              <w:t> </w:t>
            </w:r>
            <w:r w:rsidRPr="009A239A">
              <w:rPr>
                <w:rFonts w:ascii="Times New Roman" w:eastAsia="Times New Roman" w:hAnsi="Times New Roman" w:cs="Times New Roman"/>
                <w:lang w:eastAsia="tr-TR"/>
              </w:rPr>
              <w:t>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Müsteşarlık tarafından belirlenir.”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b/>
                <w:bCs/>
                <w:lang w:eastAsia="tr-TR"/>
              </w:rPr>
              <w:t>MADDE 2-</w:t>
            </w:r>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4632 sayılı Kanuna aşağıdaki geçici madde eklenmiştir.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lang w:eastAsia="tr-TR"/>
              </w:rPr>
              <w:t>“GEÇİCİ MADDE 2- Bu maddeyi ihdas eden Kanunun yürürlüğe girdiği tarihte kırk beş yaşını doldurmamış olan çalışanlar, ek 2</w:t>
            </w:r>
            <w:r w:rsidRPr="00C607CB">
              <w:rPr>
                <w:rFonts w:ascii="Times New Roman" w:eastAsia="Times New Roman" w:hAnsi="Times New Roman" w:cs="Times New Roman"/>
                <w:lang w:eastAsia="tr-TR"/>
              </w:rPr>
              <w:t> </w:t>
            </w:r>
            <w:proofErr w:type="spellStart"/>
            <w:r w:rsidRPr="00C607CB">
              <w:rPr>
                <w:rFonts w:ascii="Times New Roman" w:eastAsia="Times New Roman" w:hAnsi="Times New Roman" w:cs="Times New Roman"/>
                <w:lang w:eastAsia="tr-TR"/>
              </w:rPr>
              <w:t>nci</w:t>
            </w:r>
            <w:proofErr w:type="spellEnd"/>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madde hükümleri çerçevesinde otomatik olarak emeklilik planına dâhil edilir.”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b/>
                <w:bCs/>
                <w:lang w:eastAsia="tr-TR"/>
              </w:rPr>
              <w:t>MADDE 3-</w:t>
            </w:r>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Bu Kanun</w:t>
            </w:r>
            <w:r w:rsidRPr="00C607CB">
              <w:rPr>
                <w:rFonts w:ascii="Times New Roman" w:eastAsia="Times New Roman" w:hAnsi="Times New Roman" w:cs="Times New Roman"/>
                <w:lang w:eastAsia="tr-TR"/>
              </w:rPr>
              <w:t> </w:t>
            </w:r>
            <w:proofErr w:type="gramStart"/>
            <w:r w:rsidRPr="00C607CB">
              <w:rPr>
                <w:rFonts w:ascii="Times New Roman" w:eastAsia="Times New Roman" w:hAnsi="Times New Roman" w:cs="Times New Roman"/>
                <w:lang w:eastAsia="tr-TR"/>
              </w:rPr>
              <w:t>1/1/2017</w:t>
            </w:r>
            <w:proofErr w:type="gramEnd"/>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tarihinde yürürlüğe girer.</w:t>
            </w:r>
          </w:p>
          <w:p w:rsidR="009A239A" w:rsidRPr="009A239A" w:rsidRDefault="009A239A" w:rsidP="00C607CB">
            <w:pPr>
              <w:spacing w:before="240" w:after="240" w:line="240" w:lineRule="auto"/>
              <w:ind w:firstLine="567"/>
              <w:jc w:val="both"/>
              <w:rPr>
                <w:rFonts w:ascii="Times New Roman" w:eastAsia="Times New Roman" w:hAnsi="Times New Roman" w:cs="Times New Roman"/>
                <w:lang w:eastAsia="tr-TR"/>
              </w:rPr>
            </w:pPr>
            <w:r w:rsidRPr="009A239A">
              <w:rPr>
                <w:rFonts w:ascii="Times New Roman" w:eastAsia="Times New Roman" w:hAnsi="Times New Roman" w:cs="Times New Roman"/>
                <w:b/>
                <w:bCs/>
                <w:lang w:eastAsia="tr-TR"/>
              </w:rPr>
              <w:t>MADDE 4-</w:t>
            </w:r>
            <w:r w:rsidRPr="00C607CB">
              <w:rPr>
                <w:rFonts w:ascii="Times New Roman" w:eastAsia="Times New Roman" w:hAnsi="Times New Roman" w:cs="Times New Roman"/>
                <w:lang w:eastAsia="tr-TR"/>
              </w:rPr>
              <w:t> </w:t>
            </w:r>
            <w:r w:rsidRPr="009A239A">
              <w:rPr>
                <w:rFonts w:ascii="Times New Roman" w:eastAsia="Times New Roman" w:hAnsi="Times New Roman" w:cs="Times New Roman"/>
                <w:lang w:eastAsia="tr-TR"/>
              </w:rPr>
              <w:t>Bu Kanun hükümlerini Bakanlar Kurulu yürütür.</w:t>
            </w:r>
          </w:p>
          <w:p w:rsidR="009A239A" w:rsidRPr="009A239A" w:rsidRDefault="009A239A" w:rsidP="00C607CB">
            <w:pPr>
              <w:spacing w:before="240" w:after="240" w:line="240" w:lineRule="auto"/>
              <w:jc w:val="center"/>
              <w:rPr>
                <w:rFonts w:ascii="Times New Roman" w:eastAsia="Times New Roman" w:hAnsi="Times New Roman" w:cs="Times New Roman"/>
                <w:lang w:eastAsia="tr-TR"/>
              </w:rPr>
            </w:pPr>
            <w:proofErr w:type="gramStart"/>
            <w:r w:rsidRPr="00C607CB">
              <w:rPr>
                <w:rFonts w:ascii="Times New Roman" w:eastAsia="Times New Roman" w:hAnsi="Times New Roman" w:cs="Times New Roman"/>
                <w:lang w:eastAsia="tr-TR"/>
              </w:rPr>
              <w:t>24/08/2016</w:t>
            </w:r>
            <w:proofErr w:type="gramEnd"/>
          </w:p>
        </w:tc>
      </w:tr>
    </w:tbl>
    <w:p w:rsidR="009238F6" w:rsidRDefault="00D22714" w:rsidP="00C607CB">
      <w:pPr>
        <w:spacing w:before="240" w:after="240" w:line="240" w:lineRule="auto"/>
      </w:pPr>
    </w:p>
    <w:sectPr w:rsidR="00923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9A"/>
    <w:rsid w:val="00174BD0"/>
    <w:rsid w:val="007604DD"/>
    <w:rsid w:val="009A239A"/>
    <w:rsid w:val="00C607CB"/>
    <w:rsid w:val="00D22714"/>
    <w:rsid w:val="00EA1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0624"/>
  <w15:chartTrackingRefBased/>
  <w15:docId w15:val="{B9B594E5-A5ED-4035-9A59-613FAD6F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23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A239A"/>
  </w:style>
  <w:style w:type="character" w:customStyle="1" w:styleId="grame">
    <w:name w:val="grame"/>
    <w:basedOn w:val="VarsaylanParagrafYazTipi"/>
    <w:rsid w:val="009A239A"/>
  </w:style>
  <w:style w:type="character" w:customStyle="1" w:styleId="spelle">
    <w:name w:val="spelle"/>
    <w:basedOn w:val="VarsaylanParagrafYazTipi"/>
    <w:rsid w:val="009A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70216">
      <w:bodyDiv w:val="1"/>
      <w:marLeft w:val="0"/>
      <w:marRight w:val="0"/>
      <w:marTop w:val="0"/>
      <w:marBottom w:val="0"/>
      <w:divBdr>
        <w:top w:val="none" w:sz="0" w:space="0" w:color="auto"/>
        <w:left w:val="none" w:sz="0" w:space="0" w:color="auto"/>
        <w:bottom w:val="none" w:sz="0" w:space="0" w:color="auto"/>
        <w:right w:val="none" w:sz="0" w:space="0" w:color="auto"/>
      </w:divBdr>
      <w:divsChild>
        <w:div w:id="475100595">
          <w:marLeft w:val="0"/>
          <w:marRight w:val="0"/>
          <w:marTop w:val="0"/>
          <w:marBottom w:val="0"/>
          <w:divBdr>
            <w:top w:val="none" w:sz="0" w:space="0" w:color="auto"/>
            <w:left w:val="none" w:sz="0" w:space="0" w:color="auto"/>
            <w:bottom w:val="none" w:sz="0" w:space="0" w:color="auto"/>
            <w:right w:val="none" w:sz="0" w:space="0" w:color="auto"/>
          </w:divBdr>
          <w:divsChild>
            <w:div w:id="2078942171">
              <w:marLeft w:val="0"/>
              <w:marRight w:val="0"/>
              <w:marTop w:val="0"/>
              <w:marBottom w:val="0"/>
              <w:divBdr>
                <w:top w:val="none" w:sz="0" w:space="0" w:color="auto"/>
                <w:left w:val="none" w:sz="0" w:space="0" w:color="auto"/>
                <w:bottom w:val="none" w:sz="0" w:space="0" w:color="auto"/>
                <w:right w:val="none" w:sz="0" w:space="0" w:color="auto"/>
              </w:divBdr>
              <w:divsChild>
                <w:div w:id="1546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nexia2014</dc:creator>
  <cp:keywords/>
  <dc:description/>
  <cp:lastModifiedBy>nexia2014</cp:lastModifiedBy>
  <cp:revision>4</cp:revision>
  <dcterms:created xsi:type="dcterms:W3CDTF">2016-09-26T13:50:00Z</dcterms:created>
  <dcterms:modified xsi:type="dcterms:W3CDTF">2016-09-26T13:51:00Z</dcterms:modified>
</cp:coreProperties>
</file>