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684" w:rsidRDefault="005A5684" w:rsidP="005A5684">
      <w:pPr>
        <w:spacing w:before="120" w:after="120" w:line="240" w:lineRule="auto"/>
        <w:jc w:val="center"/>
        <w:outlineLvl w:val="0"/>
        <w:rPr>
          <w:rFonts w:ascii="Tahoma" w:hAnsi="Tahoma" w:cs="Tahoma"/>
          <w:b/>
          <w:sz w:val="28"/>
          <w:szCs w:val="28"/>
        </w:rPr>
      </w:pPr>
      <w:r>
        <w:rPr>
          <w:rFonts w:ascii="Tahoma" w:hAnsi="Tahoma" w:cs="Tahoma"/>
          <w:b/>
          <w:sz w:val="28"/>
          <w:szCs w:val="28"/>
        </w:rPr>
        <w:t>SİRKÜLER</w:t>
      </w:r>
    </w:p>
    <w:p w:rsidR="005A5684" w:rsidRDefault="002F4693" w:rsidP="005A5684">
      <w:pPr>
        <w:spacing w:before="120" w:after="120" w:line="240" w:lineRule="auto"/>
        <w:jc w:val="center"/>
        <w:outlineLvl w:val="0"/>
        <w:rPr>
          <w:rFonts w:ascii="Tahoma" w:hAnsi="Tahoma" w:cs="Tahoma"/>
          <w:b/>
          <w:sz w:val="28"/>
          <w:szCs w:val="28"/>
        </w:rPr>
      </w:pPr>
      <w:r>
        <w:rPr>
          <w:rFonts w:ascii="Tahoma" w:hAnsi="Tahoma" w:cs="Tahoma"/>
          <w:b/>
          <w:sz w:val="28"/>
          <w:szCs w:val="28"/>
        </w:rPr>
        <w:t>12</w:t>
      </w:r>
      <w:r w:rsidR="005A5684">
        <w:rPr>
          <w:rFonts w:ascii="Tahoma" w:hAnsi="Tahoma" w:cs="Tahoma"/>
          <w:b/>
          <w:sz w:val="28"/>
          <w:szCs w:val="28"/>
        </w:rPr>
        <w:t>/</w:t>
      </w:r>
      <w:r w:rsidR="006460FF">
        <w:rPr>
          <w:rFonts w:ascii="Tahoma" w:hAnsi="Tahoma" w:cs="Tahoma"/>
          <w:b/>
          <w:sz w:val="28"/>
          <w:szCs w:val="28"/>
        </w:rPr>
        <w:t>0</w:t>
      </w:r>
      <w:r>
        <w:rPr>
          <w:rFonts w:ascii="Tahoma" w:hAnsi="Tahoma" w:cs="Tahoma"/>
          <w:b/>
          <w:sz w:val="28"/>
          <w:szCs w:val="28"/>
        </w:rPr>
        <w:t>1</w:t>
      </w:r>
    </w:p>
    <w:p w:rsidR="00CB5E23" w:rsidRDefault="00CB5E23" w:rsidP="005A5684">
      <w:pPr>
        <w:spacing w:before="120" w:after="120" w:line="240" w:lineRule="auto"/>
        <w:jc w:val="center"/>
        <w:outlineLvl w:val="0"/>
        <w:rPr>
          <w:rFonts w:ascii="Tahoma" w:hAnsi="Tahoma" w:cs="Tahoma"/>
          <w:b/>
          <w:sz w:val="28"/>
          <w:szCs w:val="28"/>
        </w:rPr>
      </w:pPr>
    </w:p>
    <w:p w:rsidR="005A5684" w:rsidRDefault="006460FF" w:rsidP="005A5684">
      <w:pPr>
        <w:jc w:val="right"/>
        <w:rPr>
          <w:rFonts w:ascii="Tahoma" w:hAnsi="Tahoma" w:cs="Tahoma"/>
          <w:b/>
          <w:sz w:val="20"/>
          <w:szCs w:val="20"/>
        </w:rPr>
      </w:pPr>
      <w:r>
        <w:rPr>
          <w:rFonts w:ascii="Tahoma" w:hAnsi="Tahoma" w:cs="Tahoma"/>
          <w:b/>
          <w:sz w:val="20"/>
          <w:szCs w:val="20"/>
        </w:rPr>
        <w:t>0</w:t>
      </w:r>
      <w:r w:rsidR="002F4693">
        <w:rPr>
          <w:rFonts w:ascii="Tahoma" w:hAnsi="Tahoma" w:cs="Tahoma"/>
          <w:b/>
          <w:sz w:val="20"/>
          <w:szCs w:val="20"/>
        </w:rPr>
        <w:t>3</w:t>
      </w:r>
      <w:r w:rsidR="00545AF0">
        <w:rPr>
          <w:rFonts w:ascii="Tahoma" w:hAnsi="Tahoma" w:cs="Tahoma"/>
          <w:b/>
          <w:sz w:val="20"/>
          <w:szCs w:val="20"/>
        </w:rPr>
        <w:t>.</w:t>
      </w:r>
      <w:r w:rsidR="002F4693">
        <w:rPr>
          <w:rFonts w:ascii="Tahoma" w:hAnsi="Tahoma" w:cs="Tahoma"/>
          <w:b/>
          <w:sz w:val="20"/>
          <w:szCs w:val="20"/>
        </w:rPr>
        <w:t>12</w:t>
      </w:r>
      <w:r w:rsidR="00EE4B13">
        <w:rPr>
          <w:rFonts w:ascii="Tahoma" w:hAnsi="Tahoma" w:cs="Tahoma"/>
          <w:b/>
          <w:sz w:val="20"/>
          <w:szCs w:val="20"/>
        </w:rPr>
        <w:t>.201</w:t>
      </w:r>
      <w:r w:rsidR="00D62401">
        <w:rPr>
          <w:rFonts w:ascii="Tahoma" w:hAnsi="Tahoma" w:cs="Tahoma"/>
          <w:b/>
          <w:sz w:val="20"/>
          <w:szCs w:val="20"/>
        </w:rPr>
        <w:t>8</w:t>
      </w:r>
    </w:p>
    <w:p w:rsidR="00710FB4" w:rsidRDefault="00710FB4" w:rsidP="00B37424">
      <w:pPr>
        <w:spacing w:before="120" w:after="120" w:line="240" w:lineRule="auto"/>
        <w:jc w:val="both"/>
        <w:rPr>
          <w:rFonts w:ascii="Tahoma" w:hAnsi="Tahoma" w:cs="Tahoma"/>
          <w:b/>
          <w:sz w:val="20"/>
          <w:szCs w:val="20"/>
          <w:u w:val="single"/>
        </w:rPr>
      </w:pPr>
    </w:p>
    <w:p w:rsidR="005A5684" w:rsidRPr="00270311" w:rsidRDefault="005A5684" w:rsidP="00B37424">
      <w:pPr>
        <w:spacing w:before="120" w:after="120" w:line="240" w:lineRule="auto"/>
        <w:jc w:val="both"/>
        <w:rPr>
          <w:rFonts w:ascii="Tahoma" w:hAnsi="Tahoma" w:cs="Tahoma"/>
          <w:b/>
          <w:sz w:val="20"/>
          <w:szCs w:val="20"/>
          <w:u w:val="single"/>
        </w:rPr>
      </w:pPr>
      <w:r w:rsidRPr="00270311">
        <w:rPr>
          <w:rFonts w:ascii="Tahoma" w:hAnsi="Tahoma" w:cs="Tahoma"/>
          <w:b/>
          <w:sz w:val="20"/>
          <w:szCs w:val="20"/>
          <w:u w:val="single"/>
        </w:rPr>
        <w:t>KONU:</w:t>
      </w:r>
    </w:p>
    <w:p w:rsidR="00FE298F" w:rsidRDefault="00905E09" w:rsidP="002F4693">
      <w:pPr>
        <w:pStyle w:val="Default"/>
        <w:jc w:val="both"/>
        <w:rPr>
          <w:rFonts w:ascii="Tahoma" w:eastAsiaTheme="minorEastAsia" w:hAnsi="Tahoma" w:cs="Tahoma"/>
          <w:b/>
          <w:bCs/>
          <w:sz w:val="20"/>
          <w:szCs w:val="20"/>
        </w:rPr>
      </w:pPr>
      <w:r w:rsidRPr="00270311">
        <w:rPr>
          <w:rFonts w:ascii="Tahoma" w:hAnsi="Tahoma" w:cs="Tahoma"/>
          <w:b/>
          <w:sz w:val="20"/>
          <w:szCs w:val="20"/>
        </w:rPr>
        <w:t>*</w:t>
      </w:r>
      <w:r w:rsidR="00FE298F">
        <w:rPr>
          <w:rFonts w:ascii="Tahoma" w:hAnsi="Tahoma" w:cs="Tahoma"/>
          <w:b/>
          <w:sz w:val="20"/>
          <w:szCs w:val="20"/>
        </w:rPr>
        <w:t xml:space="preserve"> </w:t>
      </w:r>
      <w:r w:rsidR="002F4693" w:rsidRPr="002F4693">
        <w:rPr>
          <w:rFonts w:ascii="Tahoma" w:eastAsiaTheme="minorEastAsia" w:hAnsi="Tahoma" w:cs="Tahoma"/>
          <w:b/>
          <w:bCs/>
          <w:sz w:val="20"/>
          <w:szCs w:val="20"/>
        </w:rPr>
        <w:t>Sermaye Hareketleri Genelgesinde Değişiklikler Yapıldı.</w:t>
      </w:r>
    </w:p>
    <w:p w:rsidR="002F4693" w:rsidRDefault="002F4693" w:rsidP="002F4693">
      <w:pPr>
        <w:pStyle w:val="Default"/>
        <w:jc w:val="both"/>
        <w:rPr>
          <w:rFonts w:ascii="Tahoma" w:hAnsi="Tahoma" w:cs="Tahoma"/>
          <w:b/>
          <w:sz w:val="20"/>
          <w:szCs w:val="20"/>
          <w:u w:val="single"/>
        </w:rPr>
      </w:pPr>
    </w:p>
    <w:p w:rsidR="006460FF" w:rsidRDefault="002F4693" w:rsidP="009A0496">
      <w:pPr>
        <w:spacing w:after="0" w:line="240" w:lineRule="auto"/>
        <w:jc w:val="both"/>
        <w:rPr>
          <w:rFonts w:ascii="Tahoma" w:eastAsiaTheme="minorEastAsia" w:hAnsi="Tahoma" w:cs="Tahoma"/>
          <w:b/>
          <w:bCs/>
          <w:sz w:val="20"/>
          <w:szCs w:val="20"/>
          <w:u w:val="single"/>
        </w:rPr>
      </w:pPr>
      <w:r w:rsidRPr="002F4693">
        <w:rPr>
          <w:rFonts w:ascii="Tahoma" w:eastAsiaTheme="minorEastAsia" w:hAnsi="Tahoma" w:cs="Tahoma"/>
          <w:b/>
          <w:bCs/>
          <w:sz w:val="20"/>
          <w:szCs w:val="20"/>
          <w:u w:val="single"/>
        </w:rPr>
        <w:t>SERMAYE HAREKETLERİ GENELGESİNDE DEĞİŞİKLİKLER YAPILDI.</w:t>
      </w:r>
    </w:p>
    <w:p w:rsidR="002F4693" w:rsidRDefault="002F4693" w:rsidP="009A0496">
      <w:pPr>
        <w:spacing w:after="0" w:line="240" w:lineRule="auto"/>
        <w:jc w:val="both"/>
        <w:rPr>
          <w:rFonts w:eastAsiaTheme="minorEastAsia"/>
          <w:u w:val="single"/>
        </w:rPr>
      </w:pPr>
    </w:p>
    <w:p w:rsidR="00641595" w:rsidRDefault="00641595" w:rsidP="002F4693">
      <w:pPr>
        <w:pStyle w:val="NormalWeb"/>
        <w:shd w:val="clear" w:color="auto" w:fill="FFFFFF"/>
        <w:spacing w:before="0" w:after="150"/>
        <w:jc w:val="both"/>
        <w:rPr>
          <w:rFonts w:ascii="Tahoma" w:eastAsiaTheme="minorHAnsi" w:hAnsi="Tahoma" w:cs="Tahoma"/>
        </w:rPr>
      </w:pPr>
      <w:r>
        <w:rPr>
          <w:rFonts w:ascii="Tahoma" w:eastAsiaTheme="minorHAnsi" w:hAnsi="Tahoma" w:cs="Tahoma"/>
        </w:rPr>
        <w:t xml:space="preserve">25.01.2018 tarihli Resmi Gazete’de yayımlanan 2018/11185 sayılı Bakanlar Kurulu Kararı ile Türk Parası Kıymetini Koruma Hakkında 32 Sayılı Karar’da değişiklikler yapılmış ve Türkiye’de yerleşik kişilerin yurt içinden ve yurt dışından döviz kredisi kullanması döviz geliri olma şartına bağlanmıştı. </w:t>
      </w:r>
    </w:p>
    <w:p w:rsidR="00417D4B" w:rsidRDefault="00417D4B" w:rsidP="009A0496">
      <w:pPr>
        <w:spacing w:after="0" w:line="240" w:lineRule="auto"/>
        <w:jc w:val="both"/>
        <w:rPr>
          <w:rFonts w:ascii="Tahoma" w:eastAsiaTheme="minorHAnsi" w:hAnsi="Tahoma" w:cs="Tahoma"/>
          <w:b/>
          <w:bCs/>
          <w:color w:val="auto"/>
          <w:sz w:val="20"/>
          <w:szCs w:val="20"/>
          <w:u w:val="single"/>
        </w:rPr>
      </w:pPr>
    </w:p>
    <w:p w:rsidR="00417D4B" w:rsidRDefault="00417D4B" w:rsidP="009A0496">
      <w:pPr>
        <w:spacing w:after="0" w:line="240" w:lineRule="auto"/>
        <w:jc w:val="both"/>
        <w:rPr>
          <w:rFonts w:ascii="Tahoma" w:eastAsiaTheme="minorHAnsi" w:hAnsi="Tahoma" w:cs="Tahoma"/>
          <w:color w:val="auto"/>
          <w:sz w:val="20"/>
          <w:szCs w:val="20"/>
        </w:rPr>
      </w:pPr>
      <w:r w:rsidRPr="002F4693">
        <w:rPr>
          <w:rFonts w:ascii="Tahoma" w:eastAsiaTheme="minorHAnsi" w:hAnsi="Tahoma" w:cs="Tahoma"/>
          <w:color w:val="auto"/>
          <w:sz w:val="20"/>
          <w:szCs w:val="20"/>
        </w:rPr>
        <w:t>TCMB tarafından yayımlanan 02.05.2018 tarihli Sermaye Hareketleri Genelges</w:t>
      </w:r>
      <w:r w:rsidR="009822BD" w:rsidRPr="002F4693">
        <w:rPr>
          <w:rFonts w:ascii="Tahoma" w:eastAsiaTheme="minorHAnsi" w:hAnsi="Tahoma" w:cs="Tahoma"/>
          <w:color w:val="auto"/>
          <w:sz w:val="20"/>
          <w:szCs w:val="20"/>
        </w:rPr>
        <w:t>i’nde</w:t>
      </w:r>
      <w:r w:rsidRPr="002F4693">
        <w:rPr>
          <w:rFonts w:ascii="Tahoma" w:eastAsiaTheme="minorHAnsi" w:hAnsi="Tahoma" w:cs="Tahoma"/>
          <w:color w:val="auto"/>
          <w:sz w:val="20"/>
          <w:szCs w:val="20"/>
        </w:rPr>
        <w:t xml:space="preserve"> </w:t>
      </w:r>
      <w:r w:rsidR="002F4693" w:rsidRPr="002F4693">
        <w:rPr>
          <w:rFonts w:ascii="Tahoma" w:eastAsiaTheme="minorHAnsi" w:hAnsi="Tahoma" w:cs="Tahoma"/>
          <w:color w:val="auto"/>
          <w:sz w:val="20"/>
          <w:szCs w:val="20"/>
        </w:rPr>
        <w:t>söz konusu kararın uygulamasına yönelik</w:t>
      </w:r>
      <w:r w:rsidRPr="002F4693">
        <w:rPr>
          <w:rFonts w:ascii="Tahoma" w:eastAsiaTheme="minorHAnsi" w:hAnsi="Tahoma" w:cs="Tahoma"/>
          <w:color w:val="auto"/>
          <w:sz w:val="20"/>
          <w:szCs w:val="20"/>
        </w:rPr>
        <w:t xml:space="preserve"> usul ve esaslar </w:t>
      </w:r>
      <w:r w:rsidR="00B67089" w:rsidRPr="002F4693">
        <w:rPr>
          <w:rFonts w:ascii="Tahoma" w:eastAsiaTheme="minorHAnsi" w:hAnsi="Tahoma" w:cs="Tahoma"/>
          <w:color w:val="auto"/>
          <w:sz w:val="20"/>
          <w:szCs w:val="20"/>
        </w:rPr>
        <w:t xml:space="preserve">da </w:t>
      </w:r>
      <w:r w:rsidRPr="002F4693">
        <w:rPr>
          <w:rFonts w:ascii="Tahoma" w:eastAsiaTheme="minorHAnsi" w:hAnsi="Tahoma" w:cs="Tahoma"/>
          <w:color w:val="auto"/>
          <w:sz w:val="20"/>
          <w:szCs w:val="20"/>
        </w:rPr>
        <w:t>düzenlenmişti</w:t>
      </w:r>
      <w:r w:rsidR="002F4693" w:rsidRPr="002F4693">
        <w:rPr>
          <w:rFonts w:ascii="Tahoma" w:eastAsiaTheme="minorHAnsi" w:hAnsi="Tahoma" w:cs="Tahoma"/>
          <w:color w:val="auto"/>
          <w:sz w:val="20"/>
          <w:szCs w:val="20"/>
        </w:rPr>
        <w:t>.</w:t>
      </w:r>
    </w:p>
    <w:p w:rsidR="009310D7" w:rsidRDefault="009310D7" w:rsidP="009A0496">
      <w:pPr>
        <w:spacing w:after="0" w:line="240" w:lineRule="auto"/>
        <w:jc w:val="both"/>
        <w:rPr>
          <w:rFonts w:ascii="Tahoma" w:eastAsiaTheme="minorHAnsi" w:hAnsi="Tahoma" w:cs="Tahoma"/>
          <w:color w:val="auto"/>
          <w:sz w:val="20"/>
          <w:szCs w:val="20"/>
        </w:rPr>
      </w:pPr>
    </w:p>
    <w:p w:rsidR="009310D7" w:rsidRPr="002F4693" w:rsidRDefault="009310D7" w:rsidP="009A0496">
      <w:pPr>
        <w:spacing w:after="0" w:line="240" w:lineRule="auto"/>
        <w:jc w:val="both"/>
        <w:rPr>
          <w:rFonts w:ascii="Tahoma" w:eastAsiaTheme="minorHAnsi" w:hAnsi="Tahoma" w:cs="Tahoma"/>
          <w:color w:val="auto"/>
          <w:sz w:val="20"/>
          <w:szCs w:val="20"/>
        </w:rPr>
      </w:pPr>
      <w:r>
        <w:rPr>
          <w:rFonts w:ascii="Tahoma" w:eastAsiaTheme="minorHAnsi" w:hAnsi="Tahoma" w:cs="Tahoma"/>
          <w:color w:val="auto"/>
          <w:sz w:val="20"/>
          <w:szCs w:val="20"/>
        </w:rPr>
        <w:t>Söz konusu genelgeye ilişkin özet açıklamalarımızın yer aldığı 04.05.2018 tarih ve 05/02 sayılı sirkülerimiz müşavirliğimiz tarafından yayımlanmıştı.</w:t>
      </w:r>
    </w:p>
    <w:p w:rsidR="00001194" w:rsidRDefault="00001194" w:rsidP="009A0496">
      <w:pPr>
        <w:spacing w:after="0" w:line="240" w:lineRule="auto"/>
        <w:jc w:val="both"/>
        <w:rPr>
          <w:rFonts w:eastAsiaTheme="minorEastAsia"/>
          <w:u w:val="single"/>
        </w:rPr>
      </w:pPr>
    </w:p>
    <w:p w:rsidR="009310D7" w:rsidRPr="00D37294" w:rsidRDefault="009310D7" w:rsidP="00E81A03">
      <w:pPr>
        <w:spacing w:after="0" w:line="240" w:lineRule="auto"/>
        <w:jc w:val="both"/>
        <w:rPr>
          <w:rFonts w:ascii="Tahoma" w:eastAsiaTheme="minorHAnsi" w:hAnsi="Tahoma" w:cs="Tahoma"/>
          <w:b/>
          <w:bCs/>
          <w:color w:val="auto"/>
          <w:sz w:val="20"/>
          <w:szCs w:val="20"/>
        </w:rPr>
      </w:pPr>
      <w:r w:rsidRPr="00D37294">
        <w:rPr>
          <w:rFonts w:ascii="Tahoma" w:eastAsiaTheme="minorHAnsi" w:hAnsi="Tahoma" w:cs="Tahoma"/>
          <w:b/>
          <w:bCs/>
          <w:color w:val="auto"/>
          <w:sz w:val="20"/>
          <w:szCs w:val="20"/>
        </w:rPr>
        <w:t>Bu sirkülerimizde TCMB tarafından yayımlanan sermaye hareketleri genelgesinde yapılan değişiklikler sonrasında ki genelgenin son haline yer verilmiştir.</w:t>
      </w:r>
    </w:p>
    <w:p w:rsidR="009310D7" w:rsidRDefault="009310D7" w:rsidP="00E81A03">
      <w:pPr>
        <w:spacing w:after="0" w:line="240" w:lineRule="auto"/>
        <w:jc w:val="both"/>
        <w:rPr>
          <w:rFonts w:ascii="Tahoma" w:eastAsiaTheme="minorHAnsi" w:hAnsi="Tahoma" w:cs="Tahoma"/>
          <w:color w:val="auto"/>
          <w:sz w:val="20"/>
          <w:szCs w:val="20"/>
        </w:rPr>
      </w:pPr>
    </w:p>
    <w:p w:rsidR="009310D7" w:rsidRPr="00D37294" w:rsidRDefault="009310D7" w:rsidP="00E81A03">
      <w:pPr>
        <w:spacing w:after="0" w:line="240" w:lineRule="auto"/>
        <w:jc w:val="both"/>
        <w:rPr>
          <w:rFonts w:ascii="Tahoma" w:eastAsiaTheme="minorHAnsi" w:hAnsi="Tahoma" w:cs="Tahoma"/>
          <w:b/>
          <w:bCs/>
          <w:color w:val="auto"/>
          <w:sz w:val="20"/>
          <w:szCs w:val="20"/>
          <w:u w:val="single"/>
        </w:rPr>
      </w:pPr>
      <w:r w:rsidRPr="00D37294">
        <w:rPr>
          <w:rFonts w:ascii="Tahoma" w:eastAsiaTheme="minorHAnsi" w:hAnsi="Tahoma" w:cs="Tahoma"/>
          <w:b/>
          <w:bCs/>
          <w:color w:val="auto"/>
          <w:sz w:val="20"/>
          <w:szCs w:val="20"/>
          <w:u w:val="single"/>
        </w:rPr>
        <w:t>Genelge de yapılan değişikliklerden bazılarına yer verdiğimiz özet tablomuz aşağıda yer almaktadır.</w:t>
      </w:r>
    </w:p>
    <w:p w:rsidR="009310D7" w:rsidRDefault="009310D7" w:rsidP="00E81A03">
      <w:pPr>
        <w:spacing w:after="0" w:line="240" w:lineRule="auto"/>
        <w:jc w:val="both"/>
        <w:rPr>
          <w:rFonts w:ascii="Tahoma" w:eastAsiaTheme="minorHAnsi" w:hAnsi="Tahoma" w:cs="Tahoma"/>
          <w:color w:val="auto"/>
          <w:sz w:val="20"/>
          <w:szCs w:val="20"/>
        </w:rPr>
      </w:pPr>
    </w:p>
    <w:p w:rsidR="009310D7" w:rsidRDefault="009310D7" w:rsidP="00E81A03">
      <w:pPr>
        <w:spacing w:after="0" w:line="240" w:lineRule="auto"/>
        <w:jc w:val="both"/>
        <w:rPr>
          <w:rFonts w:ascii="Tahoma" w:eastAsiaTheme="minorHAnsi" w:hAnsi="Tahoma" w:cs="Tahoma"/>
          <w:color w:val="auto"/>
          <w:sz w:val="20"/>
          <w:szCs w:val="20"/>
        </w:rPr>
      </w:pPr>
    </w:p>
    <w:tbl>
      <w:tblPr>
        <w:tblW w:w="9356" w:type="dxa"/>
        <w:tblInd w:w="-5" w:type="dxa"/>
        <w:tblCellMar>
          <w:left w:w="70" w:type="dxa"/>
          <w:right w:w="70" w:type="dxa"/>
        </w:tblCellMar>
        <w:tblLook w:val="04A0" w:firstRow="1" w:lastRow="0" w:firstColumn="1" w:lastColumn="0" w:noHBand="0" w:noVBand="1"/>
      </w:tblPr>
      <w:tblGrid>
        <w:gridCol w:w="4962"/>
        <w:gridCol w:w="4394"/>
      </w:tblGrid>
      <w:tr w:rsidR="009310D7" w:rsidRPr="009310D7" w:rsidTr="009310D7">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10D7" w:rsidRPr="009310D7" w:rsidRDefault="009310D7" w:rsidP="009310D7">
            <w:pPr>
              <w:spacing w:after="0" w:line="240" w:lineRule="auto"/>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Yeni Hali</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310D7" w:rsidRPr="009310D7" w:rsidRDefault="009310D7" w:rsidP="009310D7">
            <w:pPr>
              <w:spacing w:after="0" w:line="240" w:lineRule="auto"/>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Eski Hali</w:t>
            </w:r>
          </w:p>
        </w:tc>
      </w:tr>
      <w:tr w:rsidR="009310D7" w:rsidRPr="009310D7" w:rsidTr="009310D7">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Menkul kıymetlerin Türkiye’ye girişi ve Türkiye’den çıkışı </w:t>
            </w:r>
          </w:p>
        </w:tc>
        <w:tc>
          <w:tcPr>
            <w:tcW w:w="4394" w:type="dxa"/>
            <w:tcBorders>
              <w:top w:val="nil"/>
              <w:left w:val="nil"/>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Menkul kıymetlerin Türkiye’ye girişi ve Türkiye’den çıkışı </w:t>
            </w:r>
          </w:p>
        </w:tc>
      </w:tr>
      <w:tr w:rsidR="009310D7" w:rsidRPr="009310D7" w:rsidTr="009310D7">
        <w:trPr>
          <w:trHeight w:val="30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310D7" w:rsidRPr="009310D7" w:rsidRDefault="009310D7" w:rsidP="009310D7">
            <w:pPr>
              <w:spacing w:after="0" w:line="240" w:lineRule="auto"/>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11 – </w:t>
            </w:r>
          </w:p>
        </w:tc>
        <w:tc>
          <w:tcPr>
            <w:tcW w:w="4394" w:type="dxa"/>
            <w:tcBorders>
              <w:top w:val="nil"/>
              <w:left w:val="nil"/>
              <w:bottom w:val="single" w:sz="4" w:space="0" w:color="auto"/>
              <w:right w:val="single" w:sz="4" w:space="0" w:color="auto"/>
            </w:tcBorders>
            <w:shd w:val="clear" w:color="auto" w:fill="auto"/>
            <w:vAlign w:val="bottom"/>
            <w:hideMark/>
          </w:tcPr>
          <w:p w:rsidR="009310D7" w:rsidRPr="009310D7" w:rsidRDefault="009310D7" w:rsidP="009310D7">
            <w:pPr>
              <w:spacing w:after="0" w:line="240" w:lineRule="auto"/>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11 – </w:t>
            </w:r>
          </w:p>
        </w:tc>
      </w:tr>
      <w:tr w:rsidR="009310D7" w:rsidRPr="009310D7" w:rsidTr="009310D7">
        <w:trPr>
          <w:trHeight w:val="15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(2) Türkiye’de yerleşik kişilerin, yurt dışındaki mali piyasalarda işlem gören her türlü menkul kıymetleri </w:t>
            </w:r>
            <w:r w:rsidRPr="009310D7">
              <w:rPr>
                <w:rFonts w:ascii="Tahoma" w:eastAsia="Times New Roman" w:hAnsi="Tahoma" w:cs="Tahoma"/>
                <w:color w:val="FF0000"/>
                <w:sz w:val="20"/>
                <w:szCs w:val="20"/>
                <w:u w:val="single"/>
              </w:rPr>
              <w:t>ve diğer sermaye piyasası araçlarını</w:t>
            </w:r>
            <w:r w:rsidRPr="009310D7">
              <w:rPr>
                <w:rFonts w:ascii="Tahoma" w:eastAsia="Times New Roman" w:hAnsi="Tahoma" w:cs="Tahoma"/>
                <w:color w:val="auto"/>
                <w:sz w:val="20"/>
                <w:szCs w:val="20"/>
                <w:u w:val="single"/>
              </w:rPr>
              <w:t xml:space="preserve"> </w:t>
            </w:r>
            <w:r w:rsidRPr="009310D7">
              <w:rPr>
                <w:rFonts w:ascii="Tahoma" w:eastAsia="Times New Roman" w:hAnsi="Tahoma" w:cs="Tahoma"/>
                <w:color w:val="auto"/>
                <w:sz w:val="20"/>
                <w:szCs w:val="20"/>
              </w:rPr>
              <w:t xml:space="preserve">bankalar ve sermaye piyasası mevzuatına göre yetkili bulunan aracı kurumlar vasıtasıyla satın almaları, satmaları ve bu kıymetlerin alış bedellerini bankalar aracılığı ile yurt dışına transfer ettirmeleri serbesttir. </w:t>
            </w:r>
          </w:p>
        </w:tc>
        <w:tc>
          <w:tcPr>
            <w:tcW w:w="4394" w:type="dxa"/>
            <w:tcBorders>
              <w:top w:val="nil"/>
              <w:left w:val="nil"/>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(2) Türkiye’de yerleşik kişilerin, yurt dışındaki mali piyasalarda işlem gören her türlü menkul kıymetleri bankalar ve sermaye piyasası mevzuatına göre yetkili bulunan aracı kurumlar vasıtasıyla satın almaları, satmaları ve bu kıymetlerin alış bedellerini bankalar aracılığı ile yurt dışına transfer ettirmeleri serbesttir. </w:t>
            </w:r>
          </w:p>
        </w:tc>
      </w:tr>
      <w:tr w:rsidR="009310D7" w:rsidRPr="009310D7" w:rsidTr="009310D7">
        <w:trPr>
          <w:trHeight w:val="300"/>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gelirlerinin kapsamı </w:t>
            </w:r>
          </w:p>
        </w:tc>
        <w:tc>
          <w:tcPr>
            <w:tcW w:w="4394" w:type="dxa"/>
            <w:tcBorders>
              <w:top w:val="nil"/>
              <w:left w:val="nil"/>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gelirlerinin kapsamı </w:t>
            </w:r>
          </w:p>
        </w:tc>
      </w:tr>
      <w:tr w:rsidR="009310D7" w:rsidRPr="009310D7" w:rsidTr="009310D7">
        <w:trPr>
          <w:trHeight w:val="30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15 </w:t>
            </w:r>
          </w:p>
        </w:tc>
        <w:tc>
          <w:tcPr>
            <w:tcW w:w="4394" w:type="dxa"/>
            <w:tcBorders>
              <w:top w:val="nil"/>
              <w:left w:val="nil"/>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15 </w:t>
            </w:r>
          </w:p>
        </w:tc>
      </w:tr>
      <w:tr w:rsidR="009310D7" w:rsidRPr="009310D7" w:rsidTr="009310D7">
        <w:trPr>
          <w:trHeight w:val="17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u w:val="single"/>
              </w:rPr>
            </w:pPr>
            <w:r w:rsidRPr="009310D7">
              <w:rPr>
                <w:rFonts w:ascii="Tahoma" w:eastAsia="Times New Roman" w:hAnsi="Tahoma" w:cs="Tahoma"/>
                <w:color w:val="FF0000"/>
                <w:sz w:val="20"/>
                <w:szCs w:val="20"/>
                <w:u w:val="single"/>
              </w:rPr>
              <w:t>(6) Serbest bölgede faaliyette bulunan firmaların tesislerinde makine/teçhizat, demirbaşa kayıtlı eşya veya bunların parçası olarak kullanılmak üzere serbest bölgeye satılan mallar, serbest bölge müdürlüklerince onaylı Serbest Bölge İşlem Formu, Ön Statü Belgesi ve Gümrük Beyannamesine ek olarak serbest bölge gümrük müdürlüğü ile serbest bölge müdürlüğünün ortaklaşa düzenlediği tutanağın ibraz edilmesi kaydıyla, döviz geliri olarak kabul edilir</w:t>
            </w:r>
            <w:r w:rsidRPr="009310D7">
              <w:rPr>
                <w:rFonts w:ascii="Tahoma" w:eastAsia="Times New Roman" w:hAnsi="Tahoma" w:cs="Tahoma"/>
                <w:color w:val="auto"/>
                <w:sz w:val="20"/>
                <w:szCs w:val="20"/>
                <w:u w:val="single"/>
              </w:rPr>
              <w:t>.</w:t>
            </w:r>
          </w:p>
        </w:tc>
        <w:tc>
          <w:tcPr>
            <w:tcW w:w="4394" w:type="dxa"/>
            <w:tcBorders>
              <w:top w:val="nil"/>
              <w:left w:val="nil"/>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T.C. Hazine ve Maliye Bakanlığının 25.10.2018 tarih ve 25725 sayılı yazısı ile yeni eklenmiştir.</w:t>
            </w:r>
          </w:p>
        </w:tc>
      </w:tr>
    </w:tbl>
    <w:p w:rsidR="009310D7" w:rsidRDefault="009310D7"/>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4394"/>
      </w:tblGrid>
      <w:tr w:rsidR="009310D7" w:rsidRPr="009310D7" w:rsidTr="007378FD">
        <w:trPr>
          <w:trHeight w:val="300"/>
        </w:trPr>
        <w:tc>
          <w:tcPr>
            <w:tcW w:w="4962" w:type="dxa"/>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gelirlerinin beyanı </w:t>
            </w:r>
          </w:p>
        </w:tc>
        <w:tc>
          <w:tcPr>
            <w:tcW w:w="4394" w:type="dxa"/>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gelirlerinin beyanı </w:t>
            </w:r>
          </w:p>
        </w:tc>
      </w:tr>
      <w:tr w:rsidR="009310D7" w:rsidRPr="009310D7" w:rsidTr="007378FD">
        <w:trPr>
          <w:trHeight w:val="300"/>
        </w:trPr>
        <w:tc>
          <w:tcPr>
            <w:tcW w:w="4962" w:type="dxa"/>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MADDE 16</w:t>
            </w:r>
          </w:p>
        </w:tc>
        <w:tc>
          <w:tcPr>
            <w:tcW w:w="4394" w:type="dxa"/>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MADDE 16</w:t>
            </w:r>
          </w:p>
        </w:tc>
      </w:tr>
      <w:tr w:rsidR="009310D7" w:rsidRPr="009310D7" w:rsidTr="007378FD">
        <w:trPr>
          <w:trHeight w:val="2040"/>
        </w:trPr>
        <w:tc>
          <w:tcPr>
            <w:tcW w:w="4962"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(1) Son üç mali yılın döviz gelirleri; son üç yıla ait konsolide olmayan finansal tablolar esas alınarak SMMM veya YMM tarafından hazırlanan ve onaylanan </w:t>
            </w:r>
            <w:r w:rsidRPr="009310D7">
              <w:rPr>
                <w:rFonts w:ascii="Tahoma" w:eastAsia="Times New Roman" w:hAnsi="Tahoma" w:cs="Tahoma"/>
                <w:strike/>
                <w:color w:val="FF0000"/>
                <w:sz w:val="20"/>
                <w:szCs w:val="20"/>
              </w:rPr>
              <w:t>bir raporla birlikte Döviz Gelirleri Beyan Formunun (Ek: 2)</w:t>
            </w:r>
            <w:r w:rsidRPr="009310D7">
              <w:rPr>
                <w:rFonts w:ascii="Tahoma" w:eastAsia="Times New Roman" w:hAnsi="Tahoma" w:cs="Tahoma"/>
                <w:color w:val="FF0000"/>
                <w:sz w:val="20"/>
                <w:szCs w:val="20"/>
                <w:u w:val="single"/>
              </w:rPr>
              <w:t>Döviz Gelirleri Beyan Formları (Ek: 2) ile birlikte bu formlarda işlenen tutarların döviz gelirleri kapsamı ile uyumlu olduğunun tespitini ve bu durumun tespitine dayanak oluşturan belgeler hakkında bilgileri içeren raporların</w:t>
            </w:r>
            <w:r w:rsidRPr="009310D7">
              <w:rPr>
                <w:rFonts w:ascii="Tahoma" w:eastAsia="Times New Roman" w:hAnsi="Tahoma" w:cs="Tahoma"/>
                <w:color w:val="FF0000"/>
                <w:sz w:val="20"/>
                <w:szCs w:val="20"/>
              </w:rPr>
              <w:t xml:space="preserve"> </w:t>
            </w:r>
            <w:r w:rsidRPr="009310D7">
              <w:rPr>
                <w:rFonts w:ascii="Tahoma" w:eastAsia="Times New Roman" w:hAnsi="Tahoma" w:cs="Tahoma"/>
                <w:color w:val="auto"/>
                <w:sz w:val="20"/>
                <w:szCs w:val="20"/>
              </w:rPr>
              <w:t xml:space="preserve">bankalara ve finansal kuruluşlara ibrazı ile belgelenir. </w:t>
            </w:r>
          </w:p>
        </w:tc>
        <w:tc>
          <w:tcPr>
            <w:tcW w:w="4394" w:type="dxa"/>
            <w:shd w:val="clear" w:color="auto" w:fill="auto"/>
            <w:hideMark/>
          </w:tcPr>
          <w:p w:rsidR="009310D7" w:rsidRPr="009310D7" w:rsidRDefault="009310D7" w:rsidP="007378FD">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(1) Son üç mali yılın döviz gelirleri; son üç yıla ait konsolide olmayan finansal tablolar esas alınarak SMMM veya YMM tarafından hazırlanan ve onaylanan bir raporla birlikte Döviz Gelirleri Beyan Formunun (Ek: 2) bankalara ve finansal kuruluşlara ibrazı ile belgelenir.</w:t>
            </w:r>
          </w:p>
        </w:tc>
      </w:tr>
      <w:tr w:rsidR="009310D7" w:rsidRPr="009310D7" w:rsidTr="007378FD">
        <w:trPr>
          <w:trHeight w:val="300"/>
        </w:trPr>
        <w:tc>
          <w:tcPr>
            <w:tcW w:w="4962" w:type="dxa"/>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geliri olma şartı aranmayan krediler </w:t>
            </w:r>
          </w:p>
        </w:tc>
        <w:tc>
          <w:tcPr>
            <w:tcW w:w="4394" w:type="dxa"/>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geliri olma şartı aranmayan krediler </w:t>
            </w:r>
          </w:p>
        </w:tc>
      </w:tr>
      <w:tr w:rsidR="009310D7" w:rsidRPr="009310D7" w:rsidTr="007378FD">
        <w:trPr>
          <w:trHeight w:val="300"/>
        </w:trPr>
        <w:tc>
          <w:tcPr>
            <w:tcW w:w="4962" w:type="dxa"/>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21 </w:t>
            </w:r>
          </w:p>
        </w:tc>
        <w:tc>
          <w:tcPr>
            <w:tcW w:w="4394" w:type="dxa"/>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21 </w:t>
            </w:r>
          </w:p>
        </w:tc>
      </w:tr>
      <w:tr w:rsidR="009310D7" w:rsidRPr="009310D7" w:rsidTr="007378FD">
        <w:trPr>
          <w:trHeight w:val="765"/>
        </w:trPr>
        <w:tc>
          <w:tcPr>
            <w:tcW w:w="4962"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(15) Bu maddenin birinci fıkrasının (f) bendi kapsamında aşağıda belirtilen hallerde döviz geliri olması şartının aranmayacağı Bakanlıkça kararlaştırılmıştır. </w:t>
            </w:r>
          </w:p>
        </w:tc>
        <w:tc>
          <w:tcPr>
            <w:tcW w:w="4394"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(15) Bu maddenin birinci fıkrasının (f) bendi kapsamında aşağıda belirtilen hallerde döviz geliri olması şartının aranmayacağı Bakanlıkça kararlaştırılmıştır. </w:t>
            </w:r>
          </w:p>
        </w:tc>
      </w:tr>
      <w:tr w:rsidR="009310D7" w:rsidRPr="009310D7" w:rsidTr="007378FD">
        <w:trPr>
          <w:trHeight w:val="780"/>
        </w:trPr>
        <w:tc>
          <w:tcPr>
            <w:tcW w:w="4962" w:type="dxa"/>
            <w:shd w:val="clear" w:color="auto" w:fill="auto"/>
            <w:vAlign w:val="bottom"/>
            <w:hideMark/>
          </w:tcPr>
          <w:p w:rsidR="009310D7" w:rsidRPr="009310D7" w:rsidRDefault="009310D7" w:rsidP="009310D7">
            <w:pPr>
              <w:spacing w:after="0" w:line="240" w:lineRule="auto"/>
              <w:jc w:val="both"/>
              <w:rPr>
                <w:rFonts w:ascii="Tahoma" w:eastAsia="Times New Roman" w:hAnsi="Tahoma" w:cs="Tahoma"/>
                <w:color w:val="auto"/>
                <w:sz w:val="20"/>
                <w:szCs w:val="20"/>
              </w:rPr>
            </w:pPr>
            <w:proofErr w:type="spellStart"/>
            <w:r w:rsidRPr="009310D7">
              <w:rPr>
                <w:rFonts w:ascii="Tahoma" w:eastAsia="Times New Roman" w:hAnsi="Tahoma" w:cs="Tahoma"/>
                <w:strike/>
                <w:color w:val="FF0000"/>
                <w:sz w:val="20"/>
                <w:szCs w:val="20"/>
              </w:rPr>
              <w:t>Yeni</w:t>
            </w:r>
            <w:r w:rsidRPr="009310D7">
              <w:rPr>
                <w:rFonts w:ascii="Tahoma" w:eastAsia="Times New Roman" w:hAnsi="Tahoma" w:cs="Tahoma"/>
                <w:color w:val="FF0000"/>
                <w:sz w:val="20"/>
                <w:szCs w:val="20"/>
                <w:u w:val="single"/>
              </w:rPr>
              <w:t>c</w:t>
            </w:r>
            <w:proofErr w:type="spellEnd"/>
            <w:r w:rsidRPr="009310D7">
              <w:rPr>
                <w:rFonts w:ascii="Tahoma" w:eastAsia="Times New Roman" w:hAnsi="Tahoma" w:cs="Tahoma"/>
                <w:color w:val="FF0000"/>
                <w:sz w:val="20"/>
                <w:szCs w:val="20"/>
                <w:u w:val="single"/>
              </w:rPr>
              <w:t>) Mevcut olan veya yeni kurulan</w:t>
            </w:r>
            <w:r w:rsidRPr="009310D7">
              <w:rPr>
                <w:rFonts w:ascii="Tahoma" w:eastAsia="Times New Roman" w:hAnsi="Tahoma" w:cs="Tahoma"/>
                <w:color w:val="auto"/>
                <w:sz w:val="20"/>
                <w:szCs w:val="20"/>
              </w:rPr>
              <w:t xml:space="preserve"> bir şirket payı alımı amacıyla kurulan ve bu amacı gerçekleştirmek haricinde herhangi bir faaliyeti olmayan Türkiye’de yerleşik kişilerin kullanacakları döviz kredileri. </w:t>
            </w:r>
          </w:p>
        </w:tc>
        <w:tc>
          <w:tcPr>
            <w:tcW w:w="4394" w:type="dxa"/>
            <w:shd w:val="clear" w:color="auto" w:fill="auto"/>
            <w:vAlign w:val="bottom"/>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c) Yeni bir şirket payı alımı amacıyla kurulan ve bu amacı gerçekleştirmek haricinde herhangi bir faaliyeti olmayan Türkiye’de yerleşik kişilerin kullanacakları döviz kredileri</w:t>
            </w:r>
          </w:p>
        </w:tc>
      </w:tr>
      <w:tr w:rsidR="009310D7" w:rsidRPr="009310D7" w:rsidTr="007378FD">
        <w:trPr>
          <w:trHeight w:val="1020"/>
        </w:trPr>
        <w:tc>
          <w:tcPr>
            <w:tcW w:w="4962"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u w:val="single"/>
              </w:rPr>
            </w:pPr>
            <w:r w:rsidRPr="009310D7">
              <w:rPr>
                <w:rFonts w:ascii="Tahoma" w:eastAsia="Times New Roman" w:hAnsi="Tahoma" w:cs="Tahoma"/>
                <w:color w:val="FF0000"/>
                <w:sz w:val="20"/>
                <w:szCs w:val="20"/>
                <w:u w:val="single"/>
              </w:rPr>
              <w:t>d) Dışarıda yerleşik yabancı sermayeli şirketlerin sermayesinin tamamına sahip olduğu Türkiye’de yerleşik grup şirketlerinin dışarıda yerleşik yabancı sermayeli grup şirketlerinden kullanacakları döviz kredileri.</w:t>
            </w:r>
          </w:p>
        </w:tc>
        <w:tc>
          <w:tcPr>
            <w:tcW w:w="4394"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T.C. Hazine ve Maliye Bakanlığının 29.06.2018 tarih ve 17758 sayılı yazısı ile yeni eklenmiştir.</w:t>
            </w:r>
          </w:p>
        </w:tc>
      </w:tr>
      <w:tr w:rsidR="009310D7" w:rsidRPr="009310D7" w:rsidTr="007378FD">
        <w:trPr>
          <w:trHeight w:val="510"/>
        </w:trPr>
        <w:tc>
          <w:tcPr>
            <w:tcW w:w="4962"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(19) Bu maddenin on beşinci fıkrasının (d) bendi kapsamındaki döviz kredisi kullanımlarında; </w:t>
            </w:r>
          </w:p>
        </w:tc>
        <w:tc>
          <w:tcPr>
            <w:tcW w:w="4394"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T.C. Hazine ve Maliye Bakanlığının 29.06.2018 tarih ve 17758 sayılı yazısı ile yeni eklenmiştir.</w:t>
            </w:r>
          </w:p>
        </w:tc>
      </w:tr>
      <w:tr w:rsidR="009310D7" w:rsidRPr="009310D7" w:rsidTr="007378FD">
        <w:trPr>
          <w:trHeight w:val="1530"/>
        </w:trPr>
        <w:tc>
          <w:tcPr>
            <w:tcW w:w="4962"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a) Krediyi kullandıracak olan dışarıda yerleşik şirketin Türkiye’de yerleşik grup şirketi üzerinde doğrudan yüzde yüz sahipliğinin olması halinde, Türkiye’de yerleşik grup şirketince, kredi sözleşmesinin ve geri ödeme planının aracı bankaya ibrazının yanı sıra, sermayesinin tamamının krediyi kullandıracak olan dışarıda yerleşik yabancı sermayeli şirket sahipliğinde olduğunun, </w:t>
            </w:r>
          </w:p>
        </w:tc>
        <w:tc>
          <w:tcPr>
            <w:tcW w:w="4394" w:type="dxa"/>
            <w:shd w:val="clear" w:color="auto" w:fill="auto"/>
            <w:vAlign w:val="bottom"/>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T.C. Hazine ve Maliye Bakanlığının 29.06.2018 tarih ve 17758 sayılı yazısı ile yeni eklenmiştir.</w:t>
            </w:r>
          </w:p>
        </w:tc>
      </w:tr>
      <w:tr w:rsidR="009310D7" w:rsidRPr="009310D7" w:rsidTr="007378FD">
        <w:trPr>
          <w:trHeight w:val="2805"/>
        </w:trPr>
        <w:tc>
          <w:tcPr>
            <w:tcW w:w="4962" w:type="dxa"/>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b) Krediyi kullandıracak olan dışarıda yerleşik şirketin, Türkiye’de yerleşik grup şirketi üzerinde dolaylı olarak yüzde yüz sahipliği olan dışarıda yerleşik yabancı sermayeli bir şirketin doğrudan ya da dolaylı olarak yüzde yüz iştiraki olması halinde, Türkiye’de yerleşik grup şirketince, kredi sözleşmesinin ve geri ödeme planının aracı bankaya ibrazının yanı sıra, krediyi kullandıracak dışarıda yerleşik şirket ile krediyi kullanacak Türkiye’de yerleşik grup şirketinin sermayelerinin doğrudan ya da dolaylı olarak tamamına dışarıda yerleşik aynı yabancı sermayeli şirketin sahip olduğunun ticaret sicil gazeteleri veya ilgili resmi makamlardan alınacak yazılarla aracı bankaya tevsik edilmesi gerekmektedir.</w:t>
            </w:r>
          </w:p>
        </w:tc>
        <w:tc>
          <w:tcPr>
            <w:tcW w:w="4394" w:type="dxa"/>
            <w:shd w:val="clear" w:color="auto" w:fill="auto"/>
            <w:vAlign w:val="bottom"/>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T.C. Hazine ve Maliye Bakanlığının 29.06.2018 tarih ve 17758 sayılı yazısı ile yeni eklenmiştir.</w:t>
            </w:r>
          </w:p>
        </w:tc>
      </w:tr>
    </w:tbl>
    <w:p w:rsidR="003D2109" w:rsidRDefault="003D2109"/>
    <w:tbl>
      <w:tblPr>
        <w:tblW w:w="9356" w:type="dxa"/>
        <w:tblInd w:w="-5" w:type="dxa"/>
        <w:tblCellMar>
          <w:left w:w="70" w:type="dxa"/>
          <w:right w:w="70" w:type="dxa"/>
        </w:tblCellMar>
        <w:tblLook w:val="04A0" w:firstRow="1" w:lastRow="0" w:firstColumn="1" w:lastColumn="0" w:noHBand="0" w:noVBand="1"/>
      </w:tblPr>
      <w:tblGrid>
        <w:gridCol w:w="4962"/>
        <w:gridCol w:w="4394"/>
      </w:tblGrid>
      <w:tr w:rsidR="009310D7" w:rsidRPr="009310D7" w:rsidTr="003D2109">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lastRenderedPageBreak/>
              <w:t xml:space="preserve">Yurt İçinden Kredi Alınması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Yurt İçinden Kredi Alınması </w:t>
            </w:r>
          </w:p>
        </w:tc>
      </w:tr>
      <w:tr w:rsidR="009310D7" w:rsidRPr="009310D7" w:rsidTr="003D2109">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Genel Esaslar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Genel Esaslar </w:t>
            </w:r>
          </w:p>
        </w:tc>
      </w:tr>
      <w:tr w:rsidR="009310D7" w:rsidRPr="009310D7" w:rsidTr="003D2109">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38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38 </w:t>
            </w:r>
          </w:p>
        </w:tc>
      </w:tr>
      <w:tr w:rsidR="009310D7" w:rsidRPr="009310D7" w:rsidTr="00906CB9">
        <w:trPr>
          <w:trHeight w:val="28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(2) Kambiyo mevzuatı uyarınca Türkiye’de yerleşik kişiler ancak 32 sayılı Karar’da yer alan şekliyle bankalar ve finansal kuruluşlardan döviz kredisi temin edebilecekleri için bir firmanın başka bir firmaya döviz kredisi kullandırması mümkün bulunmamaktadır. Bankalar veya finansal kuruluşlar köprü kredi ve benzeri uygulamalarla bu şekilde hareket ettiğini tespit ettikleri şirketleri </w:t>
            </w:r>
            <w:r w:rsidRPr="009310D7">
              <w:rPr>
                <w:rFonts w:ascii="Tahoma" w:eastAsia="Times New Roman" w:hAnsi="Tahoma" w:cs="Tahoma"/>
                <w:strike/>
                <w:color w:val="FF0000"/>
                <w:sz w:val="20"/>
                <w:szCs w:val="20"/>
              </w:rPr>
              <w:t>Hazine Müsteşarlığına bildirir.</w:t>
            </w:r>
            <w:r w:rsidR="00906CB9" w:rsidRPr="00906CB9">
              <w:rPr>
                <w:rFonts w:ascii="Tahoma" w:eastAsia="Times New Roman" w:hAnsi="Tahoma" w:cs="Tahoma"/>
                <w:strike/>
                <w:color w:val="FF0000"/>
                <w:sz w:val="20"/>
                <w:szCs w:val="20"/>
              </w:rPr>
              <w:t xml:space="preserve"> </w:t>
            </w:r>
            <w:r w:rsidRPr="009310D7">
              <w:rPr>
                <w:rFonts w:ascii="Tahoma" w:eastAsia="Times New Roman" w:hAnsi="Tahoma" w:cs="Tahoma"/>
                <w:color w:val="FF0000"/>
                <w:sz w:val="20"/>
                <w:szCs w:val="20"/>
                <w:u w:val="single"/>
              </w:rPr>
              <w:t>Bakanlığa bildirir. Ancak, işlemin aynı holding bünyesinde veya grup içinde gerçekleştirilmesi, borçlandırmanın ve takibinin Türk Lirası cinsinden yapılması kaydıyla, borçlandırma işlemlerine ilişkin bedellerin döviz cinsinden karşılığının firmanın yazılı beyanına istinaden yurt içindeki ilgili hesaplara transfer edilmesi mümkündür.</w:t>
            </w:r>
          </w:p>
        </w:tc>
        <w:tc>
          <w:tcPr>
            <w:tcW w:w="4394" w:type="dxa"/>
            <w:tcBorders>
              <w:top w:val="single" w:sz="4" w:space="0" w:color="auto"/>
              <w:left w:val="nil"/>
              <w:bottom w:val="single" w:sz="4" w:space="0" w:color="auto"/>
              <w:right w:val="single" w:sz="4" w:space="0" w:color="auto"/>
            </w:tcBorders>
            <w:shd w:val="clear" w:color="auto" w:fill="auto"/>
            <w:hideMark/>
          </w:tcPr>
          <w:p w:rsidR="009310D7" w:rsidRPr="009310D7" w:rsidRDefault="009310D7" w:rsidP="00906CB9">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(2) Kambiyo mevzuatı uyarınca Türkiye’de yerleşik kişiler ancak 32 sayılı Karar’da yer alan şekliyle bankalar ve finansal kuruluşlardan döviz kredisi temin edebilecekleri için bir firmanın başka bir firmaya döviz kredisi kullandırması mümkün bulunmamaktadır. Bankalar veya finansal kuruluşlar köprü kredi ve benzeri uygulamalarla bu şekilde hareket ettiğini tespit ettikleri şirketleri Hazine Müsteşarlığına bildirir.</w:t>
            </w:r>
          </w:p>
        </w:tc>
      </w:tr>
      <w:tr w:rsidR="009310D7" w:rsidRPr="009310D7" w:rsidTr="003D2109">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geliri olma şartı aranmayan krediler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Döviz geliri olma şartı aranmayan krediler </w:t>
            </w:r>
          </w:p>
        </w:tc>
      </w:tr>
      <w:tr w:rsidR="009310D7" w:rsidRPr="009310D7" w:rsidTr="003D2109">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40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MADDE 40 </w:t>
            </w:r>
          </w:p>
        </w:tc>
      </w:tr>
      <w:tr w:rsidR="009310D7" w:rsidRPr="009310D7" w:rsidTr="00E00CF5">
        <w:trPr>
          <w:trHeight w:val="484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(3) Bu maddenin birinci fıkrasının (c) bendi çerçevesinde gerçekleştirilecek YTB kapsamındaki döviz kredisi kullanımları Yatırımlarda Devlet Yardımları Hakkında Karar ile Yatırımlarda Devlet Yardımları Hakkında Kararın Uygulanmasına İlişkin Tebliğ ile belirlenen esaslara uygun olarak yapılır. Bu kapsamda</w:t>
            </w:r>
            <w:r w:rsidRPr="009310D7">
              <w:rPr>
                <w:rFonts w:ascii="Tahoma" w:eastAsia="Times New Roman" w:hAnsi="Tahoma" w:cs="Tahoma"/>
                <w:color w:val="auto"/>
                <w:sz w:val="20"/>
                <w:szCs w:val="20"/>
                <w:u w:val="single"/>
              </w:rPr>
              <w:t xml:space="preserve">; </w:t>
            </w:r>
            <w:proofErr w:type="spellStart"/>
            <w:r w:rsidRPr="009310D7">
              <w:rPr>
                <w:rFonts w:ascii="Tahoma" w:eastAsia="Times New Roman" w:hAnsi="Tahoma" w:cs="Tahoma"/>
                <w:color w:val="FF0000"/>
                <w:sz w:val="20"/>
                <w:szCs w:val="20"/>
                <w:u w:val="single"/>
              </w:rPr>
              <w:t>YTB’de</w:t>
            </w:r>
            <w:proofErr w:type="spellEnd"/>
            <w:r w:rsidRPr="009310D7">
              <w:rPr>
                <w:rFonts w:ascii="Tahoma" w:eastAsia="Times New Roman" w:hAnsi="Tahoma" w:cs="Tahoma"/>
                <w:color w:val="FF0000"/>
                <w:sz w:val="20"/>
                <w:szCs w:val="20"/>
                <w:u w:val="single"/>
              </w:rPr>
              <w:t xml:space="preserve"> </w:t>
            </w:r>
            <w:proofErr w:type="spellStart"/>
            <w:r w:rsidRPr="009310D7">
              <w:rPr>
                <w:rFonts w:ascii="Tahoma" w:eastAsia="Times New Roman" w:hAnsi="Tahoma" w:cs="Tahoma"/>
                <w:color w:val="FF0000"/>
                <w:sz w:val="20"/>
                <w:szCs w:val="20"/>
                <w:u w:val="single"/>
              </w:rPr>
              <w:t>özkaynak</w:t>
            </w:r>
            <w:proofErr w:type="spellEnd"/>
            <w:r w:rsidRPr="009310D7">
              <w:rPr>
                <w:rFonts w:ascii="Tahoma" w:eastAsia="Times New Roman" w:hAnsi="Tahoma" w:cs="Tahoma"/>
                <w:color w:val="FF0000"/>
                <w:sz w:val="20"/>
                <w:szCs w:val="20"/>
                <w:u w:val="single"/>
              </w:rPr>
              <w:t xml:space="preserve"> tutarının yer almaması halinde</w:t>
            </w:r>
            <w:r w:rsidRPr="009310D7">
              <w:rPr>
                <w:rFonts w:ascii="Tahoma" w:eastAsia="Times New Roman" w:hAnsi="Tahoma" w:cs="Tahoma"/>
                <w:color w:val="FF0000"/>
                <w:sz w:val="20"/>
                <w:szCs w:val="20"/>
              </w:rPr>
              <w:t xml:space="preserve"> </w:t>
            </w:r>
            <w:r w:rsidRPr="009310D7">
              <w:rPr>
                <w:rFonts w:ascii="Tahoma" w:eastAsia="Times New Roman" w:hAnsi="Tahoma" w:cs="Tahoma"/>
                <w:color w:val="auto"/>
                <w:sz w:val="20"/>
                <w:szCs w:val="20"/>
              </w:rPr>
              <w:t xml:space="preserve">en çok </w:t>
            </w:r>
            <w:proofErr w:type="spellStart"/>
            <w:r w:rsidRPr="009310D7">
              <w:rPr>
                <w:rFonts w:ascii="Tahoma" w:eastAsia="Times New Roman" w:hAnsi="Tahoma" w:cs="Tahoma"/>
                <w:color w:val="auto"/>
                <w:sz w:val="20"/>
                <w:szCs w:val="20"/>
              </w:rPr>
              <w:t>YTB’de</w:t>
            </w:r>
            <w:proofErr w:type="spellEnd"/>
            <w:r w:rsidRPr="009310D7">
              <w:rPr>
                <w:rFonts w:ascii="Tahoma" w:eastAsia="Times New Roman" w:hAnsi="Tahoma" w:cs="Tahoma"/>
                <w:color w:val="auto"/>
                <w:sz w:val="20"/>
                <w:szCs w:val="20"/>
              </w:rPr>
              <w:t xml:space="preserve"> belirtilen </w:t>
            </w:r>
            <w:r w:rsidRPr="009310D7">
              <w:rPr>
                <w:rFonts w:ascii="Tahoma" w:eastAsia="Times New Roman" w:hAnsi="Tahoma" w:cs="Tahoma"/>
                <w:strike/>
                <w:color w:val="FF0000"/>
                <w:sz w:val="20"/>
                <w:szCs w:val="20"/>
              </w:rPr>
              <w:t xml:space="preserve">yabancı </w:t>
            </w:r>
            <w:proofErr w:type="spellStart"/>
            <w:r w:rsidRPr="009310D7">
              <w:rPr>
                <w:rFonts w:ascii="Tahoma" w:eastAsia="Times New Roman" w:hAnsi="Tahoma" w:cs="Tahoma"/>
                <w:strike/>
                <w:color w:val="FF0000"/>
                <w:sz w:val="20"/>
                <w:szCs w:val="20"/>
              </w:rPr>
              <w:t>kaynak</w:t>
            </w:r>
            <w:r w:rsidRPr="009310D7">
              <w:rPr>
                <w:rFonts w:ascii="Tahoma" w:eastAsia="Times New Roman" w:hAnsi="Tahoma" w:cs="Tahoma"/>
                <w:color w:val="FF0000"/>
                <w:sz w:val="20"/>
                <w:szCs w:val="20"/>
                <w:u w:val="single"/>
              </w:rPr>
              <w:t>toplam</w:t>
            </w:r>
            <w:proofErr w:type="spellEnd"/>
            <w:r w:rsidRPr="009310D7">
              <w:rPr>
                <w:rFonts w:ascii="Tahoma" w:eastAsia="Times New Roman" w:hAnsi="Tahoma" w:cs="Tahoma"/>
                <w:color w:val="FF0000"/>
                <w:sz w:val="20"/>
                <w:szCs w:val="20"/>
                <w:u w:val="single"/>
              </w:rPr>
              <w:t xml:space="preserve"> yatırım</w:t>
            </w:r>
            <w:r w:rsidRPr="009310D7">
              <w:rPr>
                <w:rFonts w:ascii="Tahoma" w:eastAsia="Times New Roman" w:hAnsi="Tahoma" w:cs="Tahoma"/>
                <w:color w:val="FF0000"/>
                <w:sz w:val="20"/>
                <w:szCs w:val="20"/>
              </w:rPr>
              <w:t xml:space="preserve"> </w:t>
            </w:r>
            <w:r w:rsidRPr="009310D7">
              <w:rPr>
                <w:rFonts w:ascii="Tahoma" w:eastAsia="Times New Roman" w:hAnsi="Tahoma" w:cs="Tahoma"/>
                <w:color w:val="auto"/>
                <w:sz w:val="20"/>
                <w:szCs w:val="20"/>
              </w:rPr>
              <w:t>tutarı</w:t>
            </w:r>
            <w:r w:rsidRPr="009310D7">
              <w:rPr>
                <w:rFonts w:ascii="Tahoma" w:eastAsia="Times New Roman" w:hAnsi="Tahoma" w:cs="Tahoma"/>
                <w:color w:val="auto"/>
                <w:sz w:val="20"/>
                <w:szCs w:val="20"/>
                <w:u w:val="single"/>
              </w:rPr>
              <w:t xml:space="preserve"> </w:t>
            </w:r>
            <w:r w:rsidRPr="009310D7">
              <w:rPr>
                <w:rFonts w:ascii="Tahoma" w:eastAsia="Times New Roman" w:hAnsi="Tahoma" w:cs="Tahoma"/>
                <w:color w:val="FF0000"/>
                <w:sz w:val="20"/>
                <w:szCs w:val="20"/>
                <w:u w:val="single"/>
              </w:rPr>
              <w:t xml:space="preserve">kadar, </w:t>
            </w:r>
            <w:proofErr w:type="spellStart"/>
            <w:r w:rsidRPr="009310D7">
              <w:rPr>
                <w:rFonts w:ascii="Tahoma" w:eastAsia="Times New Roman" w:hAnsi="Tahoma" w:cs="Tahoma"/>
                <w:color w:val="FF0000"/>
                <w:sz w:val="20"/>
                <w:szCs w:val="20"/>
                <w:u w:val="single"/>
              </w:rPr>
              <w:t>YTB’de</w:t>
            </w:r>
            <w:proofErr w:type="spellEnd"/>
            <w:r w:rsidRPr="009310D7">
              <w:rPr>
                <w:rFonts w:ascii="Tahoma" w:eastAsia="Times New Roman" w:hAnsi="Tahoma" w:cs="Tahoma"/>
                <w:color w:val="FF0000"/>
                <w:sz w:val="20"/>
                <w:szCs w:val="20"/>
                <w:u w:val="single"/>
              </w:rPr>
              <w:t xml:space="preserve"> </w:t>
            </w:r>
            <w:proofErr w:type="spellStart"/>
            <w:r w:rsidRPr="009310D7">
              <w:rPr>
                <w:rFonts w:ascii="Tahoma" w:eastAsia="Times New Roman" w:hAnsi="Tahoma" w:cs="Tahoma"/>
                <w:color w:val="FF0000"/>
                <w:sz w:val="20"/>
                <w:szCs w:val="20"/>
                <w:u w:val="single"/>
              </w:rPr>
              <w:t>özkaynak</w:t>
            </w:r>
            <w:proofErr w:type="spellEnd"/>
            <w:r w:rsidRPr="009310D7">
              <w:rPr>
                <w:rFonts w:ascii="Tahoma" w:eastAsia="Times New Roman" w:hAnsi="Tahoma" w:cs="Tahoma"/>
                <w:color w:val="FF0000"/>
                <w:sz w:val="20"/>
                <w:szCs w:val="20"/>
                <w:u w:val="single"/>
              </w:rPr>
              <w:t xml:space="preserve"> tutarının yer alması halinde ise toplam yatırım tutarından </w:t>
            </w:r>
            <w:proofErr w:type="spellStart"/>
            <w:r w:rsidRPr="009310D7">
              <w:rPr>
                <w:rFonts w:ascii="Tahoma" w:eastAsia="Times New Roman" w:hAnsi="Tahoma" w:cs="Tahoma"/>
                <w:color w:val="FF0000"/>
                <w:sz w:val="20"/>
                <w:szCs w:val="20"/>
                <w:u w:val="single"/>
              </w:rPr>
              <w:t>özkaynak</w:t>
            </w:r>
            <w:proofErr w:type="spellEnd"/>
            <w:r w:rsidRPr="009310D7">
              <w:rPr>
                <w:rFonts w:ascii="Tahoma" w:eastAsia="Times New Roman" w:hAnsi="Tahoma" w:cs="Tahoma"/>
                <w:color w:val="FF0000"/>
                <w:sz w:val="20"/>
                <w:szCs w:val="20"/>
                <w:u w:val="single"/>
              </w:rPr>
              <w:t xml:space="preserve"> tutarı düşülerek hesaplanacak tutar</w:t>
            </w:r>
            <w:r w:rsidRPr="009310D7">
              <w:rPr>
                <w:rFonts w:ascii="Tahoma" w:eastAsia="Times New Roman" w:hAnsi="Tahoma" w:cs="Tahoma"/>
                <w:color w:val="FF0000"/>
                <w:sz w:val="20"/>
                <w:szCs w:val="20"/>
              </w:rPr>
              <w:t xml:space="preserve"> </w:t>
            </w:r>
            <w:r w:rsidRPr="009310D7">
              <w:rPr>
                <w:rFonts w:ascii="Tahoma" w:eastAsia="Times New Roman" w:hAnsi="Tahoma" w:cs="Tahoma"/>
                <w:color w:val="auto"/>
                <w:sz w:val="20"/>
                <w:szCs w:val="20"/>
              </w:rPr>
              <w:t xml:space="preserve">kadar döviz kredisi kullanılabilir. </w:t>
            </w:r>
            <w:proofErr w:type="spellStart"/>
            <w:r w:rsidRPr="009310D7">
              <w:rPr>
                <w:rFonts w:ascii="Tahoma" w:eastAsia="Times New Roman" w:hAnsi="Tahoma" w:cs="Tahoma"/>
                <w:color w:val="auto"/>
                <w:sz w:val="20"/>
                <w:szCs w:val="20"/>
              </w:rPr>
              <w:t>YTB'de</w:t>
            </w:r>
            <w:proofErr w:type="spellEnd"/>
            <w:r w:rsidRPr="009310D7">
              <w:rPr>
                <w:rFonts w:ascii="Tahoma" w:eastAsia="Times New Roman" w:hAnsi="Tahoma" w:cs="Tahoma"/>
                <w:color w:val="auto"/>
                <w:sz w:val="20"/>
                <w:szCs w:val="20"/>
              </w:rPr>
              <w:t xml:space="preserve"> kredi tutarının Türk lirası olarak gösterilmesi nedeniyle döviz kredilerinin Türk lirası karşılığının hesaplanmasında bankalar tarafından, bu kredilerin kullanım tarihindeki Merkez Bankası döviz satış kurları esas alınır. Kredinin kapanması için firma tarafından, tamamlama vizesi neticesinde gerçekleşen sabit yatırım tutarını gösterir </w:t>
            </w:r>
            <w:proofErr w:type="spellStart"/>
            <w:r w:rsidRPr="009310D7">
              <w:rPr>
                <w:rFonts w:ascii="Tahoma" w:eastAsia="Times New Roman" w:hAnsi="Tahoma" w:cs="Tahoma"/>
                <w:color w:val="auto"/>
                <w:sz w:val="20"/>
                <w:szCs w:val="20"/>
              </w:rPr>
              <w:t>YTB’nin</w:t>
            </w:r>
            <w:proofErr w:type="spellEnd"/>
            <w:r w:rsidRPr="009310D7">
              <w:rPr>
                <w:rFonts w:ascii="Tahoma" w:eastAsia="Times New Roman" w:hAnsi="Tahoma" w:cs="Tahoma"/>
                <w:color w:val="auto"/>
                <w:sz w:val="20"/>
                <w:szCs w:val="20"/>
              </w:rPr>
              <w:t xml:space="preserve"> işleme konu krediyi kullandıran banka veya finansal kuruluşa ibraz edilmesi gerekir. </w:t>
            </w:r>
            <w:proofErr w:type="spellStart"/>
            <w:r w:rsidRPr="009310D7">
              <w:rPr>
                <w:rFonts w:ascii="Tahoma" w:eastAsia="Times New Roman" w:hAnsi="Tahoma" w:cs="Tahoma"/>
                <w:color w:val="auto"/>
                <w:sz w:val="20"/>
                <w:szCs w:val="20"/>
              </w:rPr>
              <w:t>YTB’ye</w:t>
            </w:r>
            <w:proofErr w:type="spellEnd"/>
            <w:r w:rsidRPr="009310D7">
              <w:rPr>
                <w:rFonts w:ascii="Tahoma" w:eastAsia="Times New Roman" w:hAnsi="Tahoma" w:cs="Tahoma"/>
                <w:color w:val="auto"/>
                <w:sz w:val="20"/>
                <w:szCs w:val="20"/>
              </w:rPr>
              <w:t xml:space="preserve"> istinaden kullandırılan döviz kredisi tutarının yatırım tamamlama vizesi neticesinde belirlenen sabit yatırım tutarını aştığı hallerde takip krediyi kullandıran banka veya finansal kuruluş tarafından yerine getirilir.</w:t>
            </w:r>
          </w:p>
        </w:tc>
        <w:tc>
          <w:tcPr>
            <w:tcW w:w="4394" w:type="dxa"/>
            <w:tcBorders>
              <w:top w:val="single" w:sz="4" w:space="0" w:color="auto"/>
              <w:left w:val="nil"/>
              <w:bottom w:val="single" w:sz="4" w:space="0" w:color="auto"/>
              <w:right w:val="single" w:sz="4" w:space="0" w:color="auto"/>
            </w:tcBorders>
            <w:shd w:val="clear" w:color="auto" w:fill="auto"/>
            <w:hideMark/>
          </w:tcPr>
          <w:p w:rsidR="009310D7" w:rsidRPr="009310D7" w:rsidRDefault="009310D7" w:rsidP="00E00CF5">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(3) Bu maddenin birinci fıkrasının (c) bendi çerçevesinde gerçekleştirilecek YTB kapsamındaki döviz kredisi kullanımları Yatırımlarda Devlet Yardımları Hakkında Karar ile Yatırımlarda Devlet Yardımları Hakkında Kararın Uygulanmasına İlişkin Tebliğ ile belirlenen esaslara uygun olarak yapılır. Bu kapsamda en çok </w:t>
            </w:r>
            <w:proofErr w:type="spellStart"/>
            <w:r w:rsidRPr="009310D7">
              <w:rPr>
                <w:rFonts w:ascii="Tahoma" w:eastAsia="Times New Roman" w:hAnsi="Tahoma" w:cs="Tahoma"/>
                <w:color w:val="auto"/>
                <w:sz w:val="20"/>
                <w:szCs w:val="20"/>
              </w:rPr>
              <w:t>YTB’de</w:t>
            </w:r>
            <w:proofErr w:type="spellEnd"/>
            <w:r w:rsidRPr="009310D7">
              <w:rPr>
                <w:rFonts w:ascii="Tahoma" w:eastAsia="Times New Roman" w:hAnsi="Tahoma" w:cs="Tahoma"/>
                <w:color w:val="auto"/>
                <w:sz w:val="20"/>
                <w:szCs w:val="20"/>
              </w:rPr>
              <w:t xml:space="preserve"> belirtilen yabancı kaynak tutarı kadar döviz kredisi kullanılabilir. </w:t>
            </w:r>
            <w:proofErr w:type="spellStart"/>
            <w:r w:rsidRPr="009310D7">
              <w:rPr>
                <w:rFonts w:ascii="Tahoma" w:eastAsia="Times New Roman" w:hAnsi="Tahoma" w:cs="Tahoma"/>
                <w:color w:val="auto"/>
                <w:sz w:val="20"/>
                <w:szCs w:val="20"/>
              </w:rPr>
              <w:t>YTB'de</w:t>
            </w:r>
            <w:proofErr w:type="spellEnd"/>
            <w:r w:rsidRPr="009310D7">
              <w:rPr>
                <w:rFonts w:ascii="Tahoma" w:eastAsia="Times New Roman" w:hAnsi="Tahoma" w:cs="Tahoma"/>
                <w:color w:val="auto"/>
                <w:sz w:val="20"/>
                <w:szCs w:val="20"/>
              </w:rPr>
              <w:t xml:space="preserve"> kredi tutarının Türk lirası olarak gösterilmesi nedeniyle döviz kredilerinin Türk lirası karşılığının hesaplanmasında bankalar tarafından, bu kredilerin kullanım tarihindeki Merkez Bankası döviz satış kurları esas alınır</w:t>
            </w:r>
          </w:p>
        </w:tc>
      </w:tr>
      <w:tr w:rsidR="009310D7" w:rsidRPr="009310D7" w:rsidTr="003D2109">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Çeşitli ve Son Hükümler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Çeşitli ve Son Hükümler </w:t>
            </w:r>
          </w:p>
        </w:tc>
      </w:tr>
      <w:tr w:rsidR="009310D7" w:rsidRPr="009310D7" w:rsidTr="003D2109">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u w:val="single"/>
              </w:rPr>
            </w:pPr>
            <w:r w:rsidRPr="009310D7">
              <w:rPr>
                <w:rFonts w:ascii="Tahoma" w:eastAsia="Times New Roman" w:hAnsi="Tahoma" w:cs="Tahoma"/>
                <w:b/>
                <w:bCs/>
                <w:color w:val="auto"/>
                <w:sz w:val="20"/>
                <w:szCs w:val="20"/>
                <w:u w:val="single"/>
              </w:rPr>
              <w:t>Adi ortaklıkların kredi kullanımı</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w:t>
            </w:r>
          </w:p>
        </w:tc>
      </w:tr>
      <w:tr w:rsidR="009310D7" w:rsidRPr="009310D7" w:rsidTr="00813C23">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b/>
                <w:bCs/>
                <w:color w:val="FF0000"/>
                <w:sz w:val="20"/>
                <w:szCs w:val="20"/>
                <w:u w:val="single"/>
              </w:rPr>
            </w:pPr>
            <w:r w:rsidRPr="009310D7">
              <w:rPr>
                <w:rFonts w:ascii="Tahoma" w:eastAsia="Times New Roman" w:hAnsi="Tahoma" w:cs="Tahoma"/>
                <w:b/>
                <w:bCs/>
                <w:color w:val="FF0000"/>
                <w:sz w:val="20"/>
                <w:szCs w:val="20"/>
                <w:u w:val="single"/>
              </w:rPr>
              <w:t xml:space="preserve">MADDE 53 – </w:t>
            </w:r>
            <w:r w:rsidRPr="009310D7">
              <w:rPr>
                <w:rFonts w:ascii="Tahoma" w:eastAsia="Times New Roman" w:hAnsi="Tahoma" w:cs="Tahoma"/>
                <w:color w:val="FF0000"/>
                <w:sz w:val="20"/>
                <w:szCs w:val="20"/>
                <w:u w:val="single"/>
              </w:rPr>
              <w:t xml:space="preserve">(1) Ortaklarının tamamı tüzel kişi olan adi ortaklıklar tarafından kullanılan döviz kredileri için aşağıdaki hükümler uygulanır. </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0D7" w:rsidRPr="009310D7" w:rsidRDefault="009310D7" w:rsidP="00813C23">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T.C. Hazine ve Maliye Bakanlığının 31.05.2018 tarih ve 15194 sayılı yazısı ile yeni eklenmiştir.</w:t>
            </w:r>
          </w:p>
        </w:tc>
      </w:tr>
      <w:tr w:rsidR="009310D7" w:rsidRPr="009310D7" w:rsidTr="00502526">
        <w:trPr>
          <w:trHeight w:val="10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a) 32 sayılı Karar’ın uygulaması kapsamında ortaklarının tamamı tüzel kişi olan adi ortaklıklar Türkiye’de yerleşik tüzel kişi olarak değerlendirilir ve bu adi ortaklıklara verilen döviz kredileri sorumlulukları oranında ortaklara kullandırılmış sayılır. </w:t>
            </w:r>
          </w:p>
        </w:tc>
        <w:tc>
          <w:tcPr>
            <w:tcW w:w="4394" w:type="dxa"/>
            <w:vMerge/>
            <w:tcBorders>
              <w:top w:val="nil"/>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lastRenderedPageBreak/>
              <w:t xml:space="preserve">b) Adi ortaklıklar tarafından kullanılan döviz kredilerinde adi ortaklık bünyesindeki tüm şirketlerin payları oranında döviz gelirleri toplamı dikkate alınır.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204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c) Son üç mali yılın döviz gelirleri; son üç yıla ait konsolide olmayan finansal tablolar esas alınarak SMMM veya YMM tarafından adi ortaklık bünyesindeki her bir şirket için hazırlanan ve onaylanan Döviz Gelirleri Beyan Formları (Ek: 2) ile birlikte bu formlarda işlenen tutarların döviz gelirleri kapsamı ile uyumlu olduğunun tespitini ve bu durumun tespitine dayanak oluşturan belgeler hakkında bilgileri içeren raporların bankalara ve finansal kuruluşlara ibrazı ile belgelenir.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ç) Döviz kredisi kullanılırken ortaklık sözleşmesinin noter onaylı bir örneği kredi kullandıran/kredi kullanımına aracılık eden banka ve finansal kuruluşlara ibraz edilir.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12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d) Adi ortaklıklar tarafından kullanılan döviz kredilerinde kredi kullandıran/kredi kullanımına aracılık eden banka ve finansal kuruluşlarca Risk Merkezindeki kayıtlar kontrol edilerek adi ortaklık bünyesindeki tüm şirketlerin payları oranında kredi bakiyeleri toplamı dikkate alınır.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127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e) Bu fıkranın (d) bendine göre hesaplanan kredi bakiyesinin 15 milyon ABD doları veya üzerinde olması durumunda bu Genelgenin 21 inci ve 40 </w:t>
            </w:r>
            <w:proofErr w:type="spellStart"/>
            <w:r w:rsidRPr="009310D7">
              <w:rPr>
                <w:rFonts w:ascii="Tahoma" w:eastAsia="Times New Roman" w:hAnsi="Tahoma" w:cs="Tahoma"/>
                <w:color w:val="FF0000"/>
                <w:sz w:val="20"/>
                <w:szCs w:val="20"/>
                <w:u w:val="single"/>
              </w:rPr>
              <w:t>ıncı</w:t>
            </w:r>
            <w:proofErr w:type="spellEnd"/>
            <w:r w:rsidRPr="009310D7">
              <w:rPr>
                <w:rFonts w:ascii="Tahoma" w:eastAsia="Times New Roman" w:hAnsi="Tahoma" w:cs="Tahoma"/>
                <w:color w:val="FF0000"/>
                <w:sz w:val="20"/>
                <w:szCs w:val="20"/>
                <w:u w:val="single"/>
              </w:rPr>
              <w:t xml:space="preserve"> maddelerinin birinci fıkralarının (b) bentleri kapsamında döviz kredisi kullandırılabilir veya döviz kredisi kullanımına aracılık edilebilir.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10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f) Bu fıkranın (d) bendine göre hesaplanan kredi bakiyesinin 15 milyon ABD dolarının altında olması durumunda bu Genelgenin 20 inci ve 39 uncu maddeleri kapsamında döviz kredisi kullandırılabilir veya döviz kredisi kullanımına aracılık edilebilir.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10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FF0000"/>
                <w:sz w:val="20"/>
                <w:szCs w:val="20"/>
                <w:u w:val="single"/>
              </w:rPr>
            </w:pPr>
            <w:r w:rsidRPr="009310D7">
              <w:rPr>
                <w:rFonts w:ascii="Tahoma" w:eastAsia="Times New Roman" w:hAnsi="Tahoma" w:cs="Tahoma"/>
                <w:color w:val="FF0000"/>
                <w:sz w:val="20"/>
                <w:szCs w:val="20"/>
                <w:u w:val="single"/>
              </w:rPr>
              <w:t xml:space="preserve">g) Kredi kullandıran/kredi kullanımına aracılık eden banka ve finansal kuruluşlarca adi ortaklığın kullandığı döviz kredisi tutarı payları oranında ortakların kredi bakiyesine dahil edilir ve Risk Merkezine bildirimde bulunulur.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p>
        </w:tc>
      </w:tr>
      <w:tr w:rsidR="009310D7" w:rsidRPr="009310D7" w:rsidTr="00502526">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GEÇİCİ MADDE 1-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GEÇİCİ MADDE 1- </w:t>
            </w:r>
          </w:p>
        </w:tc>
      </w:tr>
      <w:tr w:rsidR="009310D7" w:rsidRPr="009310D7" w:rsidTr="00502526">
        <w:trPr>
          <w:trHeight w:val="15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 xml:space="preserve">(1) Kullanım tarihinde kredi bakiyesi 15 milyon ABD Doları veya üzerinde olan şirketler için ilgili kurumlarca yapılacak düzenleme yürürlüğe girene kadar başlıca amacı başka işletmelere katılmak olan anonim şirket statüsündeki holding şirketleri ve söz konusu holding şirketi bünyesindeki </w:t>
            </w:r>
            <w:r w:rsidRPr="009310D7">
              <w:rPr>
                <w:rFonts w:ascii="Tahoma" w:eastAsia="Times New Roman" w:hAnsi="Tahoma" w:cs="Tahoma"/>
                <w:strike/>
                <w:color w:val="FF0000"/>
                <w:sz w:val="20"/>
                <w:szCs w:val="20"/>
              </w:rPr>
              <w:t>şirketler</w:t>
            </w:r>
            <w:r w:rsidR="00DA4F06" w:rsidRPr="00DA4F06">
              <w:rPr>
                <w:rFonts w:ascii="Tahoma" w:eastAsia="Times New Roman" w:hAnsi="Tahoma" w:cs="Tahoma"/>
                <w:strike/>
                <w:color w:val="FF0000"/>
                <w:sz w:val="20"/>
                <w:szCs w:val="20"/>
              </w:rPr>
              <w:t xml:space="preserve"> </w:t>
            </w:r>
            <w:r w:rsidRPr="009310D7">
              <w:rPr>
                <w:rFonts w:ascii="Tahoma" w:eastAsia="Times New Roman" w:hAnsi="Tahoma" w:cs="Tahoma"/>
                <w:color w:val="FF0000"/>
                <w:sz w:val="20"/>
                <w:szCs w:val="20"/>
                <w:u w:val="single"/>
              </w:rPr>
              <w:t>şirketlerin kendi tüzel kişilikleri adına kullanacakları</w:t>
            </w:r>
            <w:r w:rsidR="00DA4F06" w:rsidRPr="00DA4F06">
              <w:rPr>
                <w:rFonts w:ascii="Tahoma" w:eastAsia="Times New Roman" w:hAnsi="Tahoma" w:cs="Tahoma"/>
                <w:color w:val="FF0000"/>
                <w:sz w:val="20"/>
                <w:szCs w:val="20"/>
                <w:u w:val="single"/>
              </w:rPr>
              <w:t xml:space="preserve"> </w:t>
            </w:r>
            <w:r w:rsidRPr="009310D7">
              <w:rPr>
                <w:rFonts w:ascii="Tahoma" w:eastAsia="Times New Roman" w:hAnsi="Tahoma" w:cs="Tahoma"/>
                <w:color w:val="FF0000"/>
                <w:sz w:val="20"/>
                <w:szCs w:val="20"/>
                <w:u w:val="single"/>
              </w:rPr>
              <w:t>krediler</w:t>
            </w:r>
            <w:r w:rsidRPr="009310D7">
              <w:rPr>
                <w:rFonts w:ascii="Tahoma" w:eastAsia="Times New Roman" w:hAnsi="Tahoma" w:cs="Tahoma"/>
                <w:color w:val="auto"/>
                <w:sz w:val="20"/>
                <w:szCs w:val="20"/>
              </w:rPr>
              <w:t xml:space="preserve"> için aşağıdaki hükümler uygulanır.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b/>
                <w:bCs/>
                <w:color w:val="auto"/>
                <w:sz w:val="20"/>
                <w:szCs w:val="20"/>
              </w:rPr>
            </w:pPr>
            <w:r w:rsidRPr="009310D7">
              <w:rPr>
                <w:rFonts w:ascii="Tahoma" w:eastAsia="Times New Roman" w:hAnsi="Tahoma" w:cs="Tahoma"/>
                <w:b/>
                <w:bCs/>
                <w:color w:val="auto"/>
                <w:sz w:val="20"/>
                <w:szCs w:val="20"/>
              </w:rPr>
              <w:t xml:space="preserve"> </w:t>
            </w:r>
            <w:r w:rsidRPr="009310D7">
              <w:rPr>
                <w:rFonts w:ascii="Tahoma" w:eastAsia="Times New Roman" w:hAnsi="Tahoma" w:cs="Tahoma"/>
                <w:color w:val="auto"/>
                <w:sz w:val="20"/>
                <w:szCs w:val="20"/>
              </w:rPr>
              <w:t xml:space="preserve">(1) Kullanım tarihinde kredi bakiyesi 15 milyon ABD Doları veya üzerinde olan şirketler için ilgili kurumlarca yapılacak düzenleme yürürlüğe girene kadar başlıca amacı başka işletmelere katılmak olan anonim şirket statüsündeki holding şirketleri ve söz konusu holding şirketi bünyesindeki şirketler için aşağıdaki hükümler uygulanır. </w:t>
            </w:r>
          </w:p>
        </w:tc>
      </w:tr>
    </w:tbl>
    <w:p w:rsidR="00B257F9" w:rsidRDefault="00B257F9"/>
    <w:p w:rsidR="00B257F9" w:rsidRDefault="00B257F9"/>
    <w:p w:rsidR="00B257F9" w:rsidRDefault="00B257F9"/>
    <w:p w:rsidR="00B257F9" w:rsidRDefault="00B257F9"/>
    <w:tbl>
      <w:tblPr>
        <w:tblW w:w="9356" w:type="dxa"/>
        <w:tblInd w:w="-5" w:type="dxa"/>
        <w:tblCellMar>
          <w:left w:w="70" w:type="dxa"/>
          <w:right w:w="70" w:type="dxa"/>
        </w:tblCellMar>
        <w:tblLook w:val="04A0" w:firstRow="1" w:lastRow="0" w:firstColumn="1" w:lastColumn="0" w:noHBand="0" w:noVBand="1"/>
      </w:tblPr>
      <w:tblGrid>
        <w:gridCol w:w="4962"/>
        <w:gridCol w:w="4394"/>
      </w:tblGrid>
      <w:tr w:rsidR="009310D7" w:rsidRPr="009310D7" w:rsidTr="00B370BA">
        <w:trPr>
          <w:trHeight w:val="506"/>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0D7" w:rsidRPr="009310D7" w:rsidRDefault="009310D7" w:rsidP="009310D7">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lastRenderedPageBreak/>
              <w:t xml:space="preserve">b) Son üç mali yılın döviz gelirleri; son üç yıla ait konsolide olmayan finansal tablolar esas alınarak SMMM veya YMM tarafından her bir şirket için hazırlanan ve onaylanan </w:t>
            </w:r>
            <w:r w:rsidRPr="009310D7">
              <w:rPr>
                <w:rFonts w:ascii="Tahoma" w:eastAsia="Times New Roman" w:hAnsi="Tahoma" w:cs="Tahoma"/>
                <w:strike/>
                <w:color w:val="FF0000"/>
                <w:sz w:val="20"/>
                <w:szCs w:val="20"/>
              </w:rPr>
              <w:t xml:space="preserve">bir raporla birlikte </w:t>
            </w:r>
            <w:r w:rsidRPr="009310D7">
              <w:rPr>
                <w:rFonts w:ascii="Tahoma" w:eastAsia="Times New Roman" w:hAnsi="Tahoma" w:cs="Tahoma"/>
                <w:color w:val="auto"/>
                <w:sz w:val="20"/>
                <w:szCs w:val="20"/>
              </w:rPr>
              <w:t xml:space="preserve">Döviz Gelirleri Beyan </w:t>
            </w:r>
            <w:r w:rsidRPr="009310D7">
              <w:rPr>
                <w:rFonts w:ascii="Tahoma" w:eastAsia="Times New Roman" w:hAnsi="Tahoma" w:cs="Tahoma"/>
                <w:strike/>
                <w:color w:val="FF0000"/>
                <w:sz w:val="20"/>
                <w:szCs w:val="20"/>
              </w:rPr>
              <w:t>Formunun</w:t>
            </w:r>
            <w:r w:rsidR="00232DF6" w:rsidRPr="00232DF6">
              <w:rPr>
                <w:rFonts w:ascii="Tahoma" w:eastAsia="Times New Roman" w:hAnsi="Tahoma" w:cs="Tahoma"/>
                <w:strike/>
                <w:color w:val="FF0000"/>
                <w:sz w:val="20"/>
                <w:szCs w:val="20"/>
              </w:rPr>
              <w:t xml:space="preserve"> </w:t>
            </w:r>
            <w:r w:rsidRPr="009310D7">
              <w:rPr>
                <w:rFonts w:ascii="Tahoma" w:eastAsia="Times New Roman" w:hAnsi="Tahoma" w:cs="Tahoma"/>
                <w:color w:val="FF0000"/>
                <w:sz w:val="20"/>
                <w:szCs w:val="20"/>
                <w:u w:val="single"/>
              </w:rPr>
              <w:t>Formları</w:t>
            </w:r>
            <w:r w:rsidRPr="009310D7">
              <w:rPr>
                <w:rFonts w:ascii="Tahoma" w:eastAsia="Times New Roman" w:hAnsi="Tahoma" w:cs="Tahoma"/>
                <w:color w:val="FF0000"/>
                <w:sz w:val="20"/>
                <w:szCs w:val="20"/>
              </w:rPr>
              <w:t xml:space="preserve"> (Ek: 2) </w:t>
            </w:r>
            <w:r w:rsidRPr="009310D7">
              <w:rPr>
                <w:rFonts w:ascii="Tahoma" w:eastAsia="Times New Roman" w:hAnsi="Tahoma" w:cs="Tahoma"/>
                <w:color w:val="FF0000"/>
                <w:sz w:val="20"/>
                <w:szCs w:val="20"/>
                <w:u w:val="single"/>
              </w:rPr>
              <w:t>ile birlikte bu formlarda işlenen tutarların döviz gelirleri kapsamı ile uyumlu olduğunun tespitini ve bu durumun tespitine dayanak oluşturan belgeler hakkında bilgileri içeren raporların</w:t>
            </w:r>
            <w:r w:rsidRPr="009310D7">
              <w:rPr>
                <w:rFonts w:ascii="Tahoma" w:eastAsia="Times New Roman" w:hAnsi="Tahoma" w:cs="Tahoma"/>
                <w:color w:val="auto"/>
                <w:sz w:val="20"/>
                <w:szCs w:val="20"/>
                <w:u w:val="single"/>
              </w:rPr>
              <w:t xml:space="preserve"> </w:t>
            </w:r>
            <w:r w:rsidRPr="009310D7">
              <w:rPr>
                <w:rFonts w:ascii="Tahoma" w:eastAsia="Times New Roman" w:hAnsi="Tahoma" w:cs="Tahoma"/>
                <w:color w:val="auto"/>
                <w:sz w:val="20"/>
                <w:szCs w:val="20"/>
              </w:rPr>
              <w:t xml:space="preserve">bankalara ve finansal kuruluşlara ibrazı ile belgelenir. </w:t>
            </w:r>
          </w:p>
        </w:tc>
        <w:tc>
          <w:tcPr>
            <w:tcW w:w="4394" w:type="dxa"/>
            <w:tcBorders>
              <w:top w:val="single" w:sz="4" w:space="0" w:color="auto"/>
              <w:left w:val="nil"/>
              <w:bottom w:val="single" w:sz="4" w:space="0" w:color="auto"/>
              <w:right w:val="single" w:sz="4" w:space="0" w:color="auto"/>
            </w:tcBorders>
            <w:shd w:val="clear" w:color="auto" w:fill="auto"/>
            <w:hideMark/>
          </w:tcPr>
          <w:p w:rsidR="009310D7" w:rsidRPr="009310D7" w:rsidRDefault="009310D7" w:rsidP="00232DF6">
            <w:pPr>
              <w:spacing w:after="0" w:line="240" w:lineRule="auto"/>
              <w:jc w:val="both"/>
              <w:rPr>
                <w:rFonts w:ascii="Tahoma" w:eastAsia="Times New Roman" w:hAnsi="Tahoma" w:cs="Tahoma"/>
                <w:color w:val="auto"/>
                <w:sz w:val="20"/>
                <w:szCs w:val="20"/>
              </w:rPr>
            </w:pPr>
            <w:r w:rsidRPr="009310D7">
              <w:rPr>
                <w:rFonts w:ascii="Tahoma" w:eastAsia="Times New Roman" w:hAnsi="Tahoma" w:cs="Tahoma"/>
                <w:color w:val="auto"/>
                <w:sz w:val="20"/>
                <w:szCs w:val="20"/>
              </w:rPr>
              <w:t>b) Son üç mali yılın döviz gelirleri; son üç yıla ait konsolide olmayan finansal tablolar esas alınarak SMMM veya YMM tarafından her bir şirket için hazırlanan ve onaylanan bir raporla birlikte Döviz Gelirleri Beyan Formunun (Ek: 2) bankalara ve finansal kuruluşlara ibrazı ile belgelenir.</w:t>
            </w:r>
          </w:p>
        </w:tc>
      </w:tr>
    </w:tbl>
    <w:p w:rsidR="003F25EF" w:rsidRDefault="009310D7" w:rsidP="00E81A03">
      <w:pPr>
        <w:spacing w:after="0" w:line="240" w:lineRule="auto"/>
        <w:jc w:val="both"/>
        <w:rPr>
          <w:rFonts w:ascii="Tahoma" w:eastAsiaTheme="minorHAnsi" w:hAnsi="Tahoma" w:cs="Tahoma"/>
          <w:color w:val="auto"/>
          <w:sz w:val="20"/>
          <w:szCs w:val="20"/>
        </w:rPr>
      </w:pPr>
      <w:r>
        <w:rPr>
          <w:rFonts w:ascii="Tahoma" w:eastAsiaTheme="minorHAnsi" w:hAnsi="Tahoma" w:cs="Tahoma"/>
          <w:color w:val="auto"/>
          <w:sz w:val="20"/>
          <w:szCs w:val="20"/>
        </w:rPr>
        <w:t xml:space="preserve"> </w:t>
      </w:r>
    </w:p>
    <w:p w:rsidR="00CF5896" w:rsidRPr="008B099F" w:rsidRDefault="0088724E" w:rsidP="00CF5896">
      <w:pPr>
        <w:spacing w:before="240" w:after="240" w:line="240" w:lineRule="auto"/>
        <w:jc w:val="both"/>
        <w:rPr>
          <w:rFonts w:ascii="Tahoma" w:eastAsia="Times New Roman" w:hAnsi="Tahoma" w:cs="Tahoma"/>
          <w:b/>
          <w:bCs/>
          <w:color w:val="auto"/>
          <w:sz w:val="20"/>
          <w:szCs w:val="20"/>
        </w:rPr>
      </w:pPr>
      <w:bookmarkStart w:id="0" w:name="_GoBack"/>
      <w:r w:rsidRPr="008B099F">
        <w:rPr>
          <w:rFonts w:ascii="Tahoma" w:eastAsia="Times New Roman" w:hAnsi="Tahoma" w:cs="Tahoma"/>
          <w:b/>
          <w:bCs/>
          <w:color w:val="auto"/>
          <w:sz w:val="20"/>
          <w:szCs w:val="20"/>
        </w:rPr>
        <w:t>TCMB Sermaye Hareketleri Genelgesi</w:t>
      </w:r>
      <w:r w:rsidR="00C01C17" w:rsidRPr="008B099F">
        <w:rPr>
          <w:rFonts w:ascii="Tahoma" w:eastAsia="Times New Roman" w:hAnsi="Tahoma" w:cs="Tahoma"/>
          <w:b/>
          <w:bCs/>
          <w:color w:val="auto"/>
          <w:sz w:val="20"/>
          <w:szCs w:val="20"/>
        </w:rPr>
        <w:t>nin son hali</w:t>
      </w:r>
      <w:r w:rsidR="00544C50" w:rsidRPr="008B099F">
        <w:rPr>
          <w:rFonts w:ascii="Tahoma" w:eastAsia="Times New Roman" w:hAnsi="Tahoma" w:cs="Tahoma"/>
          <w:b/>
          <w:bCs/>
          <w:color w:val="auto"/>
          <w:sz w:val="20"/>
          <w:szCs w:val="20"/>
        </w:rPr>
        <w:t xml:space="preserve"> </w:t>
      </w:r>
      <w:r w:rsidR="00C01C17" w:rsidRPr="008B099F">
        <w:rPr>
          <w:rFonts w:ascii="Tahoma" w:eastAsia="Times New Roman" w:hAnsi="Tahoma" w:cs="Tahoma"/>
          <w:b/>
          <w:bCs/>
          <w:color w:val="auto"/>
          <w:sz w:val="20"/>
          <w:szCs w:val="20"/>
        </w:rPr>
        <w:t>s</w:t>
      </w:r>
      <w:r w:rsidRPr="008B099F">
        <w:rPr>
          <w:rFonts w:ascii="Tahoma" w:eastAsia="Times New Roman" w:hAnsi="Tahoma" w:cs="Tahoma"/>
          <w:b/>
          <w:bCs/>
          <w:color w:val="auto"/>
          <w:sz w:val="20"/>
          <w:szCs w:val="20"/>
        </w:rPr>
        <w:t xml:space="preserve">irkülerimiz </w:t>
      </w:r>
      <w:r w:rsidR="00C01C17" w:rsidRPr="008B099F">
        <w:rPr>
          <w:rFonts w:ascii="Tahoma" w:eastAsia="Times New Roman" w:hAnsi="Tahoma" w:cs="Tahoma"/>
          <w:b/>
          <w:bCs/>
          <w:color w:val="auto"/>
          <w:sz w:val="20"/>
          <w:szCs w:val="20"/>
        </w:rPr>
        <w:t>e</w:t>
      </w:r>
      <w:r w:rsidRPr="008B099F">
        <w:rPr>
          <w:rFonts w:ascii="Tahoma" w:eastAsia="Times New Roman" w:hAnsi="Tahoma" w:cs="Tahoma"/>
          <w:b/>
          <w:bCs/>
          <w:color w:val="auto"/>
          <w:sz w:val="20"/>
          <w:szCs w:val="20"/>
        </w:rPr>
        <w:t xml:space="preserve">kinde </w:t>
      </w:r>
      <w:r w:rsidR="00C01C17" w:rsidRPr="008B099F">
        <w:rPr>
          <w:rFonts w:ascii="Tahoma" w:eastAsia="Times New Roman" w:hAnsi="Tahoma" w:cs="Tahoma"/>
          <w:b/>
          <w:bCs/>
          <w:color w:val="auto"/>
          <w:sz w:val="20"/>
          <w:szCs w:val="20"/>
        </w:rPr>
        <w:t>yer almaktadır.</w:t>
      </w:r>
    </w:p>
    <w:bookmarkEnd w:id="0"/>
    <w:p w:rsidR="00A95D9F" w:rsidRPr="0088724E" w:rsidRDefault="00A95D9F" w:rsidP="00CF5896">
      <w:pPr>
        <w:spacing w:before="240" w:after="240" w:line="240" w:lineRule="auto"/>
        <w:jc w:val="both"/>
        <w:rPr>
          <w:rFonts w:ascii="Tahoma" w:eastAsia="Times New Roman" w:hAnsi="Tahoma" w:cs="Tahoma"/>
          <w:b/>
          <w:bCs/>
          <w:color w:val="auto"/>
          <w:sz w:val="20"/>
          <w:szCs w:val="20"/>
          <w:u w:val="single"/>
        </w:rPr>
      </w:pPr>
    </w:p>
    <w:p w:rsidR="00276305" w:rsidRPr="00270311" w:rsidRDefault="00276305" w:rsidP="00CF5896">
      <w:pPr>
        <w:spacing w:before="240" w:after="240" w:line="240" w:lineRule="auto"/>
        <w:jc w:val="both"/>
        <w:rPr>
          <w:rFonts w:ascii="Tahoma" w:eastAsia="Times New Roman" w:hAnsi="Tahoma" w:cs="Tahoma"/>
          <w:b/>
          <w:color w:val="auto"/>
          <w:sz w:val="20"/>
          <w:szCs w:val="20"/>
        </w:rPr>
      </w:pPr>
      <w:r w:rsidRPr="00270311">
        <w:rPr>
          <w:rFonts w:ascii="Tahoma" w:eastAsia="Times New Roman" w:hAnsi="Tahoma" w:cs="Tahoma"/>
          <w:b/>
          <w:color w:val="auto"/>
          <w:sz w:val="20"/>
          <w:szCs w:val="20"/>
        </w:rPr>
        <w:t>Saygılarımızla</w:t>
      </w:r>
      <w:r w:rsidR="00074E8E">
        <w:rPr>
          <w:rFonts w:ascii="Tahoma" w:eastAsia="Times New Roman" w:hAnsi="Tahoma" w:cs="Tahoma"/>
          <w:b/>
          <w:color w:val="auto"/>
          <w:sz w:val="20"/>
          <w:szCs w:val="20"/>
        </w:rPr>
        <w:t>,</w:t>
      </w:r>
    </w:p>
    <w:sectPr w:rsidR="00276305" w:rsidRPr="00270311" w:rsidSect="00200011">
      <w:headerReference w:type="even" r:id="rId8"/>
      <w:headerReference w:type="default" r:id="rId9"/>
      <w:footerReference w:type="default" r:id="rId10"/>
      <w:headerReference w:type="first" r:id="rId11"/>
      <w:pgSz w:w="11906" w:h="16838" w:code="9"/>
      <w:pgMar w:top="1440" w:right="1390" w:bottom="1440" w:left="1440" w:header="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60E" w:rsidRDefault="0015660E">
      <w:pPr>
        <w:spacing w:after="0" w:line="240" w:lineRule="auto"/>
      </w:pPr>
      <w:r>
        <w:separator/>
      </w:r>
    </w:p>
  </w:endnote>
  <w:endnote w:type="continuationSeparator" w:id="0">
    <w:p w:rsidR="0015660E" w:rsidRDefault="0015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6848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19B1D23" id="Group 911" o:spid="_x0000_s1026" style="position:absolute;margin-left:636.45pt;margin-top:883.05pt;width:41.15pt;height:41.15pt;z-index:25166848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76672"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78D1CE9" id="Group 912" o:spid="_x0000_s1026" style="position:absolute;margin-left:0;margin-top:883.05pt;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3871775"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60E" w:rsidRDefault="0015660E">
      <w:pPr>
        <w:spacing w:after="0" w:line="240" w:lineRule="auto"/>
      </w:pPr>
      <w:r>
        <w:separator/>
      </w:r>
    </w:p>
  </w:footnote>
  <w:footnote w:type="continuationSeparator" w:id="0">
    <w:p w:rsidR="0015660E" w:rsidRDefault="0015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3571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C65220" id="Group 1179" o:spid="_x0000_s1026" style="position:absolute;margin-left:0;margin-top:0;width:41.15pt;height:41.15pt;z-index:25163571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43904"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1876F42B" id="Group 1182" o:spid="_x0000_s1026" style="position:absolute;margin-left:83.7pt;margin-top:83.7pt;width:112.45pt;height:44.4pt;z-index:-251672576;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9CA" w:rsidRDefault="00154750">
    <w:pPr>
      <w:spacing w:after="0"/>
      <w:ind w:left="-1440" w:right="13813"/>
    </w:pPr>
    <w:r>
      <w:rPr>
        <w:noProof/>
      </w:rPr>
      <mc:AlternateContent>
        <mc:Choice Requires="wpg">
          <w:drawing>
            <wp:anchor distT="0" distB="0" distL="114300" distR="114300" simplePos="0" relativeHeight="251652096"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9E05E3" id="Group 1133" o:spid="_x0000_s1026" style="position:absolute;margin-left:0;margin-top:0;width:41.15pt;height:41.15pt;z-index:251652096;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60288"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55D71EF9" id="Group 1136" o:spid="_x0000_s1026" style="position:absolute;margin-left:83.7pt;margin-top:83.7pt;width:112.45pt;height:44.4pt;z-index:-251656192;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CA6"/>
    <w:multiLevelType w:val="hybridMultilevel"/>
    <w:tmpl w:val="64B04B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336C95"/>
    <w:multiLevelType w:val="hybridMultilevel"/>
    <w:tmpl w:val="2592986C"/>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62722D"/>
    <w:multiLevelType w:val="multilevel"/>
    <w:tmpl w:val="D8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07220"/>
    <w:multiLevelType w:val="hybridMultilevel"/>
    <w:tmpl w:val="083E8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06143"/>
    <w:multiLevelType w:val="hybridMultilevel"/>
    <w:tmpl w:val="2D4C00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91147F3"/>
    <w:multiLevelType w:val="multilevel"/>
    <w:tmpl w:val="06A2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609F2"/>
    <w:multiLevelType w:val="hybridMultilevel"/>
    <w:tmpl w:val="55F05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2F6EBB"/>
    <w:multiLevelType w:val="multilevel"/>
    <w:tmpl w:val="7AD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4"/>
  </w:num>
  <w:num w:numId="6">
    <w:abstractNumId w:val="3"/>
  </w:num>
  <w:num w:numId="7">
    <w:abstractNumId w:val="1"/>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CA"/>
    <w:rsid w:val="00000945"/>
    <w:rsid w:val="00001194"/>
    <w:rsid w:val="000014C0"/>
    <w:rsid w:val="00005FD6"/>
    <w:rsid w:val="0000629F"/>
    <w:rsid w:val="000078AF"/>
    <w:rsid w:val="0001009D"/>
    <w:rsid w:val="00010894"/>
    <w:rsid w:val="000112C1"/>
    <w:rsid w:val="000114EA"/>
    <w:rsid w:val="00014117"/>
    <w:rsid w:val="00017D55"/>
    <w:rsid w:val="000210F1"/>
    <w:rsid w:val="00022EAF"/>
    <w:rsid w:val="000249C5"/>
    <w:rsid w:val="00030E5C"/>
    <w:rsid w:val="00032FE4"/>
    <w:rsid w:val="0003301D"/>
    <w:rsid w:val="00040149"/>
    <w:rsid w:val="00040BF9"/>
    <w:rsid w:val="0004144D"/>
    <w:rsid w:val="000473FF"/>
    <w:rsid w:val="0004770D"/>
    <w:rsid w:val="00050897"/>
    <w:rsid w:val="00051F24"/>
    <w:rsid w:val="00072A3E"/>
    <w:rsid w:val="00074E8E"/>
    <w:rsid w:val="00075DCC"/>
    <w:rsid w:val="00080173"/>
    <w:rsid w:val="00084596"/>
    <w:rsid w:val="0008479A"/>
    <w:rsid w:val="000955DE"/>
    <w:rsid w:val="000A50B7"/>
    <w:rsid w:val="000B042A"/>
    <w:rsid w:val="000B2756"/>
    <w:rsid w:val="000C3C3B"/>
    <w:rsid w:val="000C5E61"/>
    <w:rsid w:val="000C61AA"/>
    <w:rsid w:val="000C7E2E"/>
    <w:rsid w:val="000D38E0"/>
    <w:rsid w:val="000D5889"/>
    <w:rsid w:val="000E0CB5"/>
    <w:rsid w:val="000E2E7E"/>
    <w:rsid w:val="000F0072"/>
    <w:rsid w:val="000F1728"/>
    <w:rsid w:val="000F49D0"/>
    <w:rsid w:val="000F56D9"/>
    <w:rsid w:val="00101BFA"/>
    <w:rsid w:val="00101C0E"/>
    <w:rsid w:val="0010361C"/>
    <w:rsid w:val="00106F64"/>
    <w:rsid w:val="0012198E"/>
    <w:rsid w:val="00126194"/>
    <w:rsid w:val="0013168E"/>
    <w:rsid w:val="001349A8"/>
    <w:rsid w:val="00143C33"/>
    <w:rsid w:val="0015008F"/>
    <w:rsid w:val="001534F0"/>
    <w:rsid w:val="00154750"/>
    <w:rsid w:val="0015660E"/>
    <w:rsid w:val="00157FB6"/>
    <w:rsid w:val="001603B0"/>
    <w:rsid w:val="00166150"/>
    <w:rsid w:val="00172422"/>
    <w:rsid w:val="00172960"/>
    <w:rsid w:val="0018151B"/>
    <w:rsid w:val="0018304B"/>
    <w:rsid w:val="00186BFB"/>
    <w:rsid w:val="00186F45"/>
    <w:rsid w:val="00193A1A"/>
    <w:rsid w:val="001A536B"/>
    <w:rsid w:val="001B440A"/>
    <w:rsid w:val="001B4C20"/>
    <w:rsid w:val="001B4ED5"/>
    <w:rsid w:val="001B6E92"/>
    <w:rsid w:val="001C0A31"/>
    <w:rsid w:val="001C4E8E"/>
    <w:rsid w:val="001C65B5"/>
    <w:rsid w:val="001D078F"/>
    <w:rsid w:val="001D0D02"/>
    <w:rsid w:val="001D1589"/>
    <w:rsid w:val="001E01AF"/>
    <w:rsid w:val="001E0B03"/>
    <w:rsid w:val="001E13B6"/>
    <w:rsid w:val="001E2162"/>
    <w:rsid w:val="001E4601"/>
    <w:rsid w:val="001F24B1"/>
    <w:rsid w:val="001F42D7"/>
    <w:rsid w:val="00200011"/>
    <w:rsid w:val="002079EE"/>
    <w:rsid w:val="00213845"/>
    <w:rsid w:val="00216392"/>
    <w:rsid w:val="00217620"/>
    <w:rsid w:val="002315F8"/>
    <w:rsid w:val="00232DF6"/>
    <w:rsid w:val="002342AD"/>
    <w:rsid w:val="00237A20"/>
    <w:rsid w:val="00237C4E"/>
    <w:rsid w:val="002411E2"/>
    <w:rsid w:val="00241B6A"/>
    <w:rsid w:val="00245340"/>
    <w:rsid w:val="00252E7D"/>
    <w:rsid w:val="00256A0E"/>
    <w:rsid w:val="002636F0"/>
    <w:rsid w:val="00265809"/>
    <w:rsid w:val="00270311"/>
    <w:rsid w:val="002720DD"/>
    <w:rsid w:val="00276305"/>
    <w:rsid w:val="002813DD"/>
    <w:rsid w:val="002822F2"/>
    <w:rsid w:val="002869F2"/>
    <w:rsid w:val="00287ECA"/>
    <w:rsid w:val="00290732"/>
    <w:rsid w:val="002949F4"/>
    <w:rsid w:val="00295E4C"/>
    <w:rsid w:val="002A6577"/>
    <w:rsid w:val="002A682E"/>
    <w:rsid w:val="002A7063"/>
    <w:rsid w:val="002B3A2F"/>
    <w:rsid w:val="002C24C5"/>
    <w:rsid w:val="002C53DF"/>
    <w:rsid w:val="002D12C4"/>
    <w:rsid w:val="002E1916"/>
    <w:rsid w:val="002F1258"/>
    <w:rsid w:val="002F370B"/>
    <w:rsid w:val="002F4693"/>
    <w:rsid w:val="00303296"/>
    <w:rsid w:val="003034B7"/>
    <w:rsid w:val="003105A3"/>
    <w:rsid w:val="00322F9C"/>
    <w:rsid w:val="003230D8"/>
    <w:rsid w:val="003235D7"/>
    <w:rsid w:val="0033234A"/>
    <w:rsid w:val="003331A2"/>
    <w:rsid w:val="00335C30"/>
    <w:rsid w:val="00340C06"/>
    <w:rsid w:val="003441C4"/>
    <w:rsid w:val="00344251"/>
    <w:rsid w:val="00352493"/>
    <w:rsid w:val="003538CE"/>
    <w:rsid w:val="003559CA"/>
    <w:rsid w:val="0035708B"/>
    <w:rsid w:val="0036033A"/>
    <w:rsid w:val="003611CD"/>
    <w:rsid w:val="003839ED"/>
    <w:rsid w:val="003924E1"/>
    <w:rsid w:val="0039459D"/>
    <w:rsid w:val="003969C6"/>
    <w:rsid w:val="003A7333"/>
    <w:rsid w:val="003B6E49"/>
    <w:rsid w:val="003B7BAB"/>
    <w:rsid w:val="003C092B"/>
    <w:rsid w:val="003C2245"/>
    <w:rsid w:val="003C3F7F"/>
    <w:rsid w:val="003C6FCA"/>
    <w:rsid w:val="003D2109"/>
    <w:rsid w:val="003D64F3"/>
    <w:rsid w:val="003D7839"/>
    <w:rsid w:val="003D7850"/>
    <w:rsid w:val="003E1B15"/>
    <w:rsid w:val="003E5E04"/>
    <w:rsid w:val="003F1A43"/>
    <w:rsid w:val="003F25EF"/>
    <w:rsid w:val="003F5A6E"/>
    <w:rsid w:val="003F6427"/>
    <w:rsid w:val="00401F57"/>
    <w:rsid w:val="00417D4B"/>
    <w:rsid w:val="00420AF4"/>
    <w:rsid w:val="004262DC"/>
    <w:rsid w:val="004269FC"/>
    <w:rsid w:val="00427F3C"/>
    <w:rsid w:val="00433CD1"/>
    <w:rsid w:val="00436E0E"/>
    <w:rsid w:val="00446687"/>
    <w:rsid w:val="00451F08"/>
    <w:rsid w:val="004521CD"/>
    <w:rsid w:val="004709FB"/>
    <w:rsid w:val="00471CA0"/>
    <w:rsid w:val="00472DAD"/>
    <w:rsid w:val="004805F5"/>
    <w:rsid w:val="00491441"/>
    <w:rsid w:val="00492F36"/>
    <w:rsid w:val="00493A61"/>
    <w:rsid w:val="004A29C6"/>
    <w:rsid w:val="004A3C5D"/>
    <w:rsid w:val="004A3E13"/>
    <w:rsid w:val="004A4552"/>
    <w:rsid w:val="004A4CE1"/>
    <w:rsid w:val="004B40FC"/>
    <w:rsid w:val="004B791C"/>
    <w:rsid w:val="004D625D"/>
    <w:rsid w:val="004D7A2F"/>
    <w:rsid w:val="004F62E4"/>
    <w:rsid w:val="00502526"/>
    <w:rsid w:val="005215ED"/>
    <w:rsid w:val="00523E26"/>
    <w:rsid w:val="00531699"/>
    <w:rsid w:val="00544C50"/>
    <w:rsid w:val="00545AF0"/>
    <w:rsid w:val="00546D6E"/>
    <w:rsid w:val="005530EC"/>
    <w:rsid w:val="00567BC5"/>
    <w:rsid w:val="00570322"/>
    <w:rsid w:val="0057310D"/>
    <w:rsid w:val="0057642C"/>
    <w:rsid w:val="005821AA"/>
    <w:rsid w:val="005842B4"/>
    <w:rsid w:val="0059733B"/>
    <w:rsid w:val="005974B4"/>
    <w:rsid w:val="005A5684"/>
    <w:rsid w:val="005B08A6"/>
    <w:rsid w:val="005C5A96"/>
    <w:rsid w:val="005C6372"/>
    <w:rsid w:val="005D02F4"/>
    <w:rsid w:val="005D4B18"/>
    <w:rsid w:val="005D73D4"/>
    <w:rsid w:val="005E18C1"/>
    <w:rsid w:val="005E545B"/>
    <w:rsid w:val="005E5B2A"/>
    <w:rsid w:val="005F09FD"/>
    <w:rsid w:val="005F7226"/>
    <w:rsid w:val="006026C0"/>
    <w:rsid w:val="00605D57"/>
    <w:rsid w:val="00641595"/>
    <w:rsid w:val="006460FF"/>
    <w:rsid w:val="0064685F"/>
    <w:rsid w:val="006566CC"/>
    <w:rsid w:val="00656D2F"/>
    <w:rsid w:val="00665AFF"/>
    <w:rsid w:val="00667D3F"/>
    <w:rsid w:val="00672EBA"/>
    <w:rsid w:val="00677C19"/>
    <w:rsid w:val="00685BF9"/>
    <w:rsid w:val="0069001C"/>
    <w:rsid w:val="006A0785"/>
    <w:rsid w:val="006A7D12"/>
    <w:rsid w:val="006B3583"/>
    <w:rsid w:val="006B7856"/>
    <w:rsid w:val="006C1524"/>
    <w:rsid w:val="006D65A4"/>
    <w:rsid w:val="006E22CA"/>
    <w:rsid w:val="006F724D"/>
    <w:rsid w:val="007079DE"/>
    <w:rsid w:val="00707B77"/>
    <w:rsid w:val="00710FB4"/>
    <w:rsid w:val="007116D8"/>
    <w:rsid w:val="00714566"/>
    <w:rsid w:val="007146EB"/>
    <w:rsid w:val="007178AA"/>
    <w:rsid w:val="00720030"/>
    <w:rsid w:val="00723E11"/>
    <w:rsid w:val="00733665"/>
    <w:rsid w:val="007378E6"/>
    <w:rsid w:val="007378FD"/>
    <w:rsid w:val="00737B5A"/>
    <w:rsid w:val="00745179"/>
    <w:rsid w:val="00750FD3"/>
    <w:rsid w:val="00757B29"/>
    <w:rsid w:val="00763958"/>
    <w:rsid w:val="00773D9D"/>
    <w:rsid w:val="00777B4A"/>
    <w:rsid w:val="007810CC"/>
    <w:rsid w:val="00793DB6"/>
    <w:rsid w:val="007961C8"/>
    <w:rsid w:val="007A6C95"/>
    <w:rsid w:val="007B0390"/>
    <w:rsid w:val="007B1D12"/>
    <w:rsid w:val="007B2932"/>
    <w:rsid w:val="007C23D4"/>
    <w:rsid w:val="007C55EE"/>
    <w:rsid w:val="007D471C"/>
    <w:rsid w:val="007E25DE"/>
    <w:rsid w:val="007E324D"/>
    <w:rsid w:val="007F1BBA"/>
    <w:rsid w:val="007F3FCC"/>
    <w:rsid w:val="007F5014"/>
    <w:rsid w:val="00800E89"/>
    <w:rsid w:val="00811320"/>
    <w:rsid w:val="00813C23"/>
    <w:rsid w:val="008145B0"/>
    <w:rsid w:val="00817F50"/>
    <w:rsid w:val="008237E7"/>
    <w:rsid w:val="00843F51"/>
    <w:rsid w:val="00860C45"/>
    <w:rsid w:val="00864432"/>
    <w:rsid w:val="00872B14"/>
    <w:rsid w:val="008767BD"/>
    <w:rsid w:val="00881F67"/>
    <w:rsid w:val="0088235D"/>
    <w:rsid w:val="0088724E"/>
    <w:rsid w:val="008A0ADC"/>
    <w:rsid w:val="008A151C"/>
    <w:rsid w:val="008B099F"/>
    <w:rsid w:val="008B18E1"/>
    <w:rsid w:val="008B6338"/>
    <w:rsid w:val="008C02C4"/>
    <w:rsid w:val="008C43EB"/>
    <w:rsid w:val="008C659C"/>
    <w:rsid w:val="008D3CE0"/>
    <w:rsid w:val="008D6B82"/>
    <w:rsid w:val="008D7EFE"/>
    <w:rsid w:val="008E469D"/>
    <w:rsid w:val="008F3242"/>
    <w:rsid w:val="008F3613"/>
    <w:rsid w:val="008F6242"/>
    <w:rsid w:val="00901CCF"/>
    <w:rsid w:val="00904FAA"/>
    <w:rsid w:val="00905E09"/>
    <w:rsid w:val="00906486"/>
    <w:rsid w:val="00906CB9"/>
    <w:rsid w:val="00915508"/>
    <w:rsid w:val="00925B61"/>
    <w:rsid w:val="009310D7"/>
    <w:rsid w:val="00935BA1"/>
    <w:rsid w:val="00941E69"/>
    <w:rsid w:val="00946741"/>
    <w:rsid w:val="009511AB"/>
    <w:rsid w:val="00956347"/>
    <w:rsid w:val="00962670"/>
    <w:rsid w:val="009631D6"/>
    <w:rsid w:val="009643EB"/>
    <w:rsid w:val="00965D9B"/>
    <w:rsid w:val="00971D5D"/>
    <w:rsid w:val="009724CF"/>
    <w:rsid w:val="009822BD"/>
    <w:rsid w:val="00983757"/>
    <w:rsid w:val="00985917"/>
    <w:rsid w:val="009901F3"/>
    <w:rsid w:val="009A0496"/>
    <w:rsid w:val="009A0B7C"/>
    <w:rsid w:val="009A140A"/>
    <w:rsid w:val="009A3B90"/>
    <w:rsid w:val="009A5140"/>
    <w:rsid w:val="009A5EE4"/>
    <w:rsid w:val="009B06F2"/>
    <w:rsid w:val="009B09CA"/>
    <w:rsid w:val="009B266C"/>
    <w:rsid w:val="009B7E9B"/>
    <w:rsid w:val="009C3F2B"/>
    <w:rsid w:val="009D5430"/>
    <w:rsid w:val="009E1787"/>
    <w:rsid w:val="009E252D"/>
    <w:rsid w:val="009E30DD"/>
    <w:rsid w:val="009E4019"/>
    <w:rsid w:val="009F2012"/>
    <w:rsid w:val="009F3675"/>
    <w:rsid w:val="00A000A2"/>
    <w:rsid w:val="00A00738"/>
    <w:rsid w:val="00A02823"/>
    <w:rsid w:val="00A112BA"/>
    <w:rsid w:val="00A129FA"/>
    <w:rsid w:val="00A161C0"/>
    <w:rsid w:val="00A3789A"/>
    <w:rsid w:val="00A459CE"/>
    <w:rsid w:val="00A530B6"/>
    <w:rsid w:val="00A60B24"/>
    <w:rsid w:val="00A657EF"/>
    <w:rsid w:val="00A72FE2"/>
    <w:rsid w:val="00A74B2A"/>
    <w:rsid w:val="00A80CB2"/>
    <w:rsid w:val="00A83350"/>
    <w:rsid w:val="00A905F6"/>
    <w:rsid w:val="00A91314"/>
    <w:rsid w:val="00A92F1F"/>
    <w:rsid w:val="00A9568D"/>
    <w:rsid w:val="00A95CE8"/>
    <w:rsid w:val="00A95D9F"/>
    <w:rsid w:val="00A97273"/>
    <w:rsid w:val="00AA32A0"/>
    <w:rsid w:val="00AA5622"/>
    <w:rsid w:val="00AC074D"/>
    <w:rsid w:val="00AC1704"/>
    <w:rsid w:val="00AC58B3"/>
    <w:rsid w:val="00AC75E1"/>
    <w:rsid w:val="00AD27F9"/>
    <w:rsid w:val="00AD2C70"/>
    <w:rsid w:val="00AD4FD9"/>
    <w:rsid w:val="00AF448D"/>
    <w:rsid w:val="00B012D8"/>
    <w:rsid w:val="00B01BE1"/>
    <w:rsid w:val="00B020D3"/>
    <w:rsid w:val="00B11492"/>
    <w:rsid w:val="00B14776"/>
    <w:rsid w:val="00B15D87"/>
    <w:rsid w:val="00B1704E"/>
    <w:rsid w:val="00B257F9"/>
    <w:rsid w:val="00B30285"/>
    <w:rsid w:val="00B30908"/>
    <w:rsid w:val="00B36C11"/>
    <w:rsid w:val="00B370BA"/>
    <w:rsid w:val="00B37424"/>
    <w:rsid w:val="00B37DA6"/>
    <w:rsid w:val="00B465D1"/>
    <w:rsid w:val="00B50A8C"/>
    <w:rsid w:val="00B5353D"/>
    <w:rsid w:val="00B61A1E"/>
    <w:rsid w:val="00B623AD"/>
    <w:rsid w:val="00B65121"/>
    <w:rsid w:val="00B67089"/>
    <w:rsid w:val="00B6785D"/>
    <w:rsid w:val="00B67A1A"/>
    <w:rsid w:val="00B74EE9"/>
    <w:rsid w:val="00B81ADB"/>
    <w:rsid w:val="00B86C94"/>
    <w:rsid w:val="00B9024C"/>
    <w:rsid w:val="00B90522"/>
    <w:rsid w:val="00B94DAC"/>
    <w:rsid w:val="00B97FA8"/>
    <w:rsid w:val="00BA0C1C"/>
    <w:rsid w:val="00BA4AAC"/>
    <w:rsid w:val="00BA5D41"/>
    <w:rsid w:val="00BB046B"/>
    <w:rsid w:val="00BB755D"/>
    <w:rsid w:val="00BD0302"/>
    <w:rsid w:val="00BD0E3D"/>
    <w:rsid w:val="00BD42A8"/>
    <w:rsid w:val="00BE0CCB"/>
    <w:rsid w:val="00BE1768"/>
    <w:rsid w:val="00BF1F92"/>
    <w:rsid w:val="00BF4D8F"/>
    <w:rsid w:val="00BF5F22"/>
    <w:rsid w:val="00C01C17"/>
    <w:rsid w:val="00C05839"/>
    <w:rsid w:val="00C1019A"/>
    <w:rsid w:val="00C108B3"/>
    <w:rsid w:val="00C12185"/>
    <w:rsid w:val="00C1499B"/>
    <w:rsid w:val="00C14E73"/>
    <w:rsid w:val="00C262D5"/>
    <w:rsid w:val="00C26DF5"/>
    <w:rsid w:val="00C27939"/>
    <w:rsid w:val="00C3044B"/>
    <w:rsid w:val="00C30DF4"/>
    <w:rsid w:val="00C3720C"/>
    <w:rsid w:val="00C6022E"/>
    <w:rsid w:val="00C63E24"/>
    <w:rsid w:val="00C64283"/>
    <w:rsid w:val="00C70BED"/>
    <w:rsid w:val="00C71D13"/>
    <w:rsid w:val="00C85119"/>
    <w:rsid w:val="00C87F9A"/>
    <w:rsid w:val="00C921E6"/>
    <w:rsid w:val="00C93651"/>
    <w:rsid w:val="00C972E2"/>
    <w:rsid w:val="00CA3B78"/>
    <w:rsid w:val="00CA59AC"/>
    <w:rsid w:val="00CA5D7E"/>
    <w:rsid w:val="00CB25C2"/>
    <w:rsid w:val="00CB5E23"/>
    <w:rsid w:val="00CC161F"/>
    <w:rsid w:val="00CC38BB"/>
    <w:rsid w:val="00CC396B"/>
    <w:rsid w:val="00CC4DBE"/>
    <w:rsid w:val="00CE73FA"/>
    <w:rsid w:val="00CF36C4"/>
    <w:rsid w:val="00CF5896"/>
    <w:rsid w:val="00D00EF1"/>
    <w:rsid w:val="00D03D2F"/>
    <w:rsid w:val="00D03FD1"/>
    <w:rsid w:val="00D04BEF"/>
    <w:rsid w:val="00D10358"/>
    <w:rsid w:val="00D22C01"/>
    <w:rsid w:val="00D32769"/>
    <w:rsid w:val="00D37294"/>
    <w:rsid w:val="00D44A89"/>
    <w:rsid w:val="00D45C13"/>
    <w:rsid w:val="00D50BE0"/>
    <w:rsid w:val="00D5313C"/>
    <w:rsid w:val="00D544D3"/>
    <w:rsid w:val="00D557CC"/>
    <w:rsid w:val="00D60FDD"/>
    <w:rsid w:val="00D61D3A"/>
    <w:rsid w:val="00D62401"/>
    <w:rsid w:val="00D729D4"/>
    <w:rsid w:val="00D7370B"/>
    <w:rsid w:val="00D83D16"/>
    <w:rsid w:val="00D87394"/>
    <w:rsid w:val="00DA1C55"/>
    <w:rsid w:val="00DA3E3C"/>
    <w:rsid w:val="00DA4F06"/>
    <w:rsid w:val="00DC08A8"/>
    <w:rsid w:val="00DC1221"/>
    <w:rsid w:val="00DC170C"/>
    <w:rsid w:val="00DC2CD5"/>
    <w:rsid w:val="00DD01E1"/>
    <w:rsid w:val="00DD3676"/>
    <w:rsid w:val="00DD7115"/>
    <w:rsid w:val="00DE093D"/>
    <w:rsid w:val="00DE4C7C"/>
    <w:rsid w:val="00DF6DD3"/>
    <w:rsid w:val="00E00B03"/>
    <w:rsid w:val="00E00CF5"/>
    <w:rsid w:val="00E178CB"/>
    <w:rsid w:val="00E2375C"/>
    <w:rsid w:val="00E25F43"/>
    <w:rsid w:val="00E33D5E"/>
    <w:rsid w:val="00E41CCF"/>
    <w:rsid w:val="00E41F1B"/>
    <w:rsid w:val="00E45682"/>
    <w:rsid w:val="00E53740"/>
    <w:rsid w:val="00E54638"/>
    <w:rsid w:val="00E700FA"/>
    <w:rsid w:val="00E76B13"/>
    <w:rsid w:val="00E80175"/>
    <w:rsid w:val="00E81A03"/>
    <w:rsid w:val="00EA785F"/>
    <w:rsid w:val="00EC5A22"/>
    <w:rsid w:val="00EC6059"/>
    <w:rsid w:val="00ED1873"/>
    <w:rsid w:val="00ED5853"/>
    <w:rsid w:val="00ED6037"/>
    <w:rsid w:val="00EE10DB"/>
    <w:rsid w:val="00EE4B13"/>
    <w:rsid w:val="00EE6388"/>
    <w:rsid w:val="00EE6DD0"/>
    <w:rsid w:val="00EE72CF"/>
    <w:rsid w:val="00EF6018"/>
    <w:rsid w:val="00EF6926"/>
    <w:rsid w:val="00F031CC"/>
    <w:rsid w:val="00F10932"/>
    <w:rsid w:val="00F11B2D"/>
    <w:rsid w:val="00F14823"/>
    <w:rsid w:val="00F151F9"/>
    <w:rsid w:val="00F175F2"/>
    <w:rsid w:val="00F17769"/>
    <w:rsid w:val="00F21AB3"/>
    <w:rsid w:val="00F23CB1"/>
    <w:rsid w:val="00F2780A"/>
    <w:rsid w:val="00F319C6"/>
    <w:rsid w:val="00F41A66"/>
    <w:rsid w:val="00F4599B"/>
    <w:rsid w:val="00F46AAD"/>
    <w:rsid w:val="00F7761A"/>
    <w:rsid w:val="00F779BA"/>
    <w:rsid w:val="00F8529F"/>
    <w:rsid w:val="00F85EB0"/>
    <w:rsid w:val="00FA563F"/>
    <w:rsid w:val="00FA6C72"/>
    <w:rsid w:val="00FB58EC"/>
    <w:rsid w:val="00FB7543"/>
    <w:rsid w:val="00FC4A49"/>
    <w:rsid w:val="00FD1833"/>
    <w:rsid w:val="00FD4553"/>
    <w:rsid w:val="00FD598F"/>
    <w:rsid w:val="00FE298F"/>
    <w:rsid w:val="00FE6C17"/>
    <w:rsid w:val="00FF09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FFBDB-A1D8-4FF8-977D-0A281B17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Balk3">
    <w:name w:val="heading 3"/>
    <w:basedOn w:val="Normal"/>
    <w:next w:val="Normal"/>
    <w:link w:val="Balk3Char"/>
    <w:uiPriority w:val="9"/>
    <w:unhideWhenUsed/>
    <w:qFormat/>
    <w:rsid w:val="007451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7451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link w:val="Balk5Char"/>
    <w:uiPriority w:val="9"/>
    <w:qFormat/>
    <w:rsid w:val="00217620"/>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Balk5Char">
    <w:name w:val="Başlık 5 Char"/>
    <w:basedOn w:val="VarsaylanParagrafYazTipi"/>
    <w:link w:val="Balk5"/>
    <w:uiPriority w:val="9"/>
    <w:rsid w:val="00217620"/>
    <w:rPr>
      <w:rFonts w:ascii="Times New Roman" w:eastAsia="Times New Roman" w:hAnsi="Times New Roman" w:cs="Times New Roman"/>
      <w:b/>
      <w:bCs/>
      <w:sz w:val="20"/>
      <w:szCs w:val="20"/>
    </w:rPr>
  </w:style>
  <w:style w:type="table" w:styleId="TabloKlavuzu">
    <w:name w:val="Table Grid"/>
    <w:basedOn w:val="NormalTablo"/>
    <w:uiPriority w:val="39"/>
    <w:rsid w:val="00F1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semiHidden/>
    <w:rsid w:val="00745179"/>
    <w:rPr>
      <w:rFonts w:asciiTheme="majorHAnsi" w:eastAsiaTheme="majorEastAsia" w:hAnsiTheme="majorHAnsi" w:cstheme="majorBidi"/>
      <w:i/>
      <w:iCs/>
      <w:color w:val="2E74B5" w:themeColor="accent1" w:themeShade="BF"/>
    </w:rPr>
  </w:style>
  <w:style w:type="character" w:customStyle="1" w:styleId="Balk3Char">
    <w:name w:val="Başlık 3 Char"/>
    <w:basedOn w:val="VarsaylanParagrafYazTipi"/>
    <w:link w:val="Balk3"/>
    <w:uiPriority w:val="9"/>
    <w:rsid w:val="00745179"/>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C02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2C4"/>
    <w:rPr>
      <w:rFonts w:ascii="Tahoma" w:eastAsia="Calibri" w:hAnsi="Tahoma" w:cs="Tahoma"/>
      <w:color w:val="000000"/>
      <w:sz w:val="16"/>
      <w:szCs w:val="16"/>
    </w:rPr>
  </w:style>
  <w:style w:type="character" w:styleId="zmlenmeyenBahsetme">
    <w:name w:val="Unresolved Mention"/>
    <w:basedOn w:val="VarsaylanParagrafYazTipi"/>
    <w:uiPriority w:val="99"/>
    <w:semiHidden/>
    <w:unhideWhenUsed/>
    <w:rsid w:val="00051F24"/>
    <w:rPr>
      <w:color w:val="808080"/>
      <w:shd w:val="clear" w:color="auto" w:fill="E6E6E6"/>
    </w:rPr>
  </w:style>
  <w:style w:type="paragraph" w:customStyle="1" w:styleId="metin">
    <w:name w:val="metin"/>
    <w:basedOn w:val="Normal"/>
    <w:rsid w:val="00BE0C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rame">
    <w:name w:val="grame"/>
    <w:basedOn w:val="VarsaylanParagrafYazTipi"/>
    <w:rsid w:val="00BE0CCB"/>
  </w:style>
  <w:style w:type="paragraph" w:customStyle="1" w:styleId="ortabalkbold">
    <w:name w:val="ortabalkbold"/>
    <w:basedOn w:val="Normal"/>
    <w:rsid w:val="007B1D1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577">
      <w:bodyDiv w:val="1"/>
      <w:marLeft w:val="0"/>
      <w:marRight w:val="0"/>
      <w:marTop w:val="0"/>
      <w:marBottom w:val="0"/>
      <w:divBdr>
        <w:top w:val="none" w:sz="0" w:space="0" w:color="auto"/>
        <w:left w:val="none" w:sz="0" w:space="0" w:color="auto"/>
        <w:bottom w:val="none" w:sz="0" w:space="0" w:color="auto"/>
        <w:right w:val="none" w:sz="0" w:space="0" w:color="auto"/>
      </w:divBdr>
    </w:div>
    <w:div w:id="39138234">
      <w:bodyDiv w:val="1"/>
      <w:marLeft w:val="0"/>
      <w:marRight w:val="0"/>
      <w:marTop w:val="0"/>
      <w:marBottom w:val="0"/>
      <w:divBdr>
        <w:top w:val="none" w:sz="0" w:space="0" w:color="auto"/>
        <w:left w:val="none" w:sz="0" w:space="0" w:color="auto"/>
        <w:bottom w:val="none" w:sz="0" w:space="0" w:color="auto"/>
        <w:right w:val="none" w:sz="0" w:space="0" w:color="auto"/>
      </w:divBdr>
    </w:div>
    <w:div w:id="47728061">
      <w:bodyDiv w:val="1"/>
      <w:marLeft w:val="0"/>
      <w:marRight w:val="0"/>
      <w:marTop w:val="0"/>
      <w:marBottom w:val="0"/>
      <w:divBdr>
        <w:top w:val="none" w:sz="0" w:space="0" w:color="auto"/>
        <w:left w:val="none" w:sz="0" w:space="0" w:color="auto"/>
        <w:bottom w:val="none" w:sz="0" w:space="0" w:color="auto"/>
        <w:right w:val="none" w:sz="0" w:space="0" w:color="auto"/>
      </w:divBdr>
    </w:div>
    <w:div w:id="83960868">
      <w:bodyDiv w:val="1"/>
      <w:marLeft w:val="0"/>
      <w:marRight w:val="0"/>
      <w:marTop w:val="0"/>
      <w:marBottom w:val="0"/>
      <w:divBdr>
        <w:top w:val="none" w:sz="0" w:space="0" w:color="auto"/>
        <w:left w:val="none" w:sz="0" w:space="0" w:color="auto"/>
        <w:bottom w:val="none" w:sz="0" w:space="0" w:color="auto"/>
        <w:right w:val="none" w:sz="0" w:space="0" w:color="auto"/>
      </w:divBdr>
    </w:div>
    <w:div w:id="135029251">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439490627">
      <w:bodyDiv w:val="1"/>
      <w:marLeft w:val="0"/>
      <w:marRight w:val="0"/>
      <w:marTop w:val="0"/>
      <w:marBottom w:val="0"/>
      <w:divBdr>
        <w:top w:val="none" w:sz="0" w:space="0" w:color="auto"/>
        <w:left w:val="none" w:sz="0" w:space="0" w:color="auto"/>
        <w:bottom w:val="none" w:sz="0" w:space="0" w:color="auto"/>
        <w:right w:val="none" w:sz="0" w:space="0" w:color="auto"/>
      </w:divBdr>
    </w:div>
    <w:div w:id="506864272">
      <w:bodyDiv w:val="1"/>
      <w:marLeft w:val="0"/>
      <w:marRight w:val="0"/>
      <w:marTop w:val="0"/>
      <w:marBottom w:val="0"/>
      <w:divBdr>
        <w:top w:val="none" w:sz="0" w:space="0" w:color="auto"/>
        <w:left w:val="none" w:sz="0" w:space="0" w:color="auto"/>
        <w:bottom w:val="none" w:sz="0" w:space="0" w:color="auto"/>
        <w:right w:val="none" w:sz="0" w:space="0" w:color="auto"/>
      </w:divBdr>
    </w:div>
    <w:div w:id="553738231">
      <w:bodyDiv w:val="1"/>
      <w:marLeft w:val="0"/>
      <w:marRight w:val="0"/>
      <w:marTop w:val="0"/>
      <w:marBottom w:val="0"/>
      <w:divBdr>
        <w:top w:val="none" w:sz="0" w:space="0" w:color="auto"/>
        <w:left w:val="none" w:sz="0" w:space="0" w:color="auto"/>
        <w:bottom w:val="none" w:sz="0" w:space="0" w:color="auto"/>
        <w:right w:val="none" w:sz="0" w:space="0" w:color="auto"/>
      </w:divBdr>
    </w:div>
    <w:div w:id="575288611">
      <w:bodyDiv w:val="1"/>
      <w:marLeft w:val="0"/>
      <w:marRight w:val="0"/>
      <w:marTop w:val="0"/>
      <w:marBottom w:val="0"/>
      <w:divBdr>
        <w:top w:val="none" w:sz="0" w:space="0" w:color="auto"/>
        <w:left w:val="none" w:sz="0" w:space="0" w:color="auto"/>
        <w:bottom w:val="none" w:sz="0" w:space="0" w:color="auto"/>
        <w:right w:val="none" w:sz="0" w:space="0" w:color="auto"/>
      </w:divBdr>
    </w:div>
    <w:div w:id="592397164">
      <w:bodyDiv w:val="1"/>
      <w:marLeft w:val="0"/>
      <w:marRight w:val="0"/>
      <w:marTop w:val="0"/>
      <w:marBottom w:val="0"/>
      <w:divBdr>
        <w:top w:val="none" w:sz="0" w:space="0" w:color="auto"/>
        <w:left w:val="none" w:sz="0" w:space="0" w:color="auto"/>
        <w:bottom w:val="none" w:sz="0" w:space="0" w:color="auto"/>
        <w:right w:val="none" w:sz="0" w:space="0" w:color="auto"/>
      </w:divBdr>
      <w:divsChild>
        <w:div w:id="1253902951">
          <w:marLeft w:val="0"/>
          <w:marRight w:val="0"/>
          <w:marTop w:val="0"/>
          <w:marBottom w:val="0"/>
          <w:divBdr>
            <w:top w:val="none" w:sz="0" w:space="0" w:color="auto"/>
            <w:left w:val="none" w:sz="0" w:space="0" w:color="auto"/>
            <w:bottom w:val="none" w:sz="0" w:space="0" w:color="auto"/>
            <w:right w:val="none" w:sz="0" w:space="0" w:color="auto"/>
          </w:divBdr>
          <w:divsChild>
            <w:div w:id="10819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9956">
      <w:bodyDiv w:val="1"/>
      <w:marLeft w:val="0"/>
      <w:marRight w:val="0"/>
      <w:marTop w:val="0"/>
      <w:marBottom w:val="0"/>
      <w:divBdr>
        <w:top w:val="none" w:sz="0" w:space="0" w:color="auto"/>
        <w:left w:val="none" w:sz="0" w:space="0" w:color="auto"/>
        <w:bottom w:val="none" w:sz="0" w:space="0" w:color="auto"/>
        <w:right w:val="none" w:sz="0" w:space="0" w:color="auto"/>
      </w:divBdr>
    </w:div>
    <w:div w:id="741029413">
      <w:bodyDiv w:val="1"/>
      <w:marLeft w:val="0"/>
      <w:marRight w:val="0"/>
      <w:marTop w:val="0"/>
      <w:marBottom w:val="0"/>
      <w:divBdr>
        <w:top w:val="none" w:sz="0" w:space="0" w:color="auto"/>
        <w:left w:val="none" w:sz="0" w:space="0" w:color="auto"/>
        <w:bottom w:val="none" w:sz="0" w:space="0" w:color="auto"/>
        <w:right w:val="none" w:sz="0" w:space="0" w:color="auto"/>
      </w:divBdr>
    </w:div>
    <w:div w:id="805440588">
      <w:bodyDiv w:val="1"/>
      <w:marLeft w:val="0"/>
      <w:marRight w:val="0"/>
      <w:marTop w:val="0"/>
      <w:marBottom w:val="0"/>
      <w:divBdr>
        <w:top w:val="none" w:sz="0" w:space="0" w:color="auto"/>
        <w:left w:val="none" w:sz="0" w:space="0" w:color="auto"/>
        <w:bottom w:val="none" w:sz="0" w:space="0" w:color="auto"/>
        <w:right w:val="none" w:sz="0" w:space="0" w:color="auto"/>
      </w:divBdr>
    </w:div>
    <w:div w:id="911350427">
      <w:bodyDiv w:val="1"/>
      <w:marLeft w:val="0"/>
      <w:marRight w:val="0"/>
      <w:marTop w:val="0"/>
      <w:marBottom w:val="0"/>
      <w:divBdr>
        <w:top w:val="none" w:sz="0" w:space="0" w:color="auto"/>
        <w:left w:val="none" w:sz="0" w:space="0" w:color="auto"/>
        <w:bottom w:val="none" w:sz="0" w:space="0" w:color="auto"/>
        <w:right w:val="none" w:sz="0" w:space="0" w:color="auto"/>
      </w:divBdr>
    </w:div>
    <w:div w:id="927152272">
      <w:bodyDiv w:val="1"/>
      <w:marLeft w:val="0"/>
      <w:marRight w:val="0"/>
      <w:marTop w:val="0"/>
      <w:marBottom w:val="0"/>
      <w:divBdr>
        <w:top w:val="none" w:sz="0" w:space="0" w:color="auto"/>
        <w:left w:val="none" w:sz="0" w:space="0" w:color="auto"/>
        <w:bottom w:val="none" w:sz="0" w:space="0" w:color="auto"/>
        <w:right w:val="none" w:sz="0" w:space="0" w:color="auto"/>
      </w:divBdr>
      <w:divsChild>
        <w:div w:id="827668436">
          <w:marLeft w:val="0"/>
          <w:marRight w:val="0"/>
          <w:marTop w:val="0"/>
          <w:marBottom w:val="0"/>
          <w:divBdr>
            <w:top w:val="none" w:sz="0" w:space="0" w:color="auto"/>
            <w:left w:val="none" w:sz="0" w:space="0" w:color="auto"/>
            <w:bottom w:val="none" w:sz="0" w:space="0" w:color="auto"/>
            <w:right w:val="none" w:sz="0" w:space="0" w:color="auto"/>
          </w:divBdr>
        </w:div>
      </w:divsChild>
    </w:div>
    <w:div w:id="954865453">
      <w:bodyDiv w:val="1"/>
      <w:marLeft w:val="0"/>
      <w:marRight w:val="0"/>
      <w:marTop w:val="0"/>
      <w:marBottom w:val="0"/>
      <w:divBdr>
        <w:top w:val="none" w:sz="0" w:space="0" w:color="auto"/>
        <w:left w:val="none" w:sz="0" w:space="0" w:color="auto"/>
        <w:bottom w:val="none" w:sz="0" w:space="0" w:color="auto"/>
        <w:right w:val="none" w:sz="0" w:space="0" w:color="auto"/>
      </w:divBdr>
    </w:div>
    <w:div w:id="965115666">
      <w:bodyDiv w:val="1"/>
      <w:marLeft w:val="0"/>
      <w:marRight w:val="0"/>
      <w:marTop w:val="0"/>
      <w:marBottom w:val="0"/>
      <w:divBdr>
        <w:top w:val="none" w:sz="0" w:space="0" w:color="auto"/>
        <w:left w:val="none" w:sz="0" w:space="0" w:color="auto"/>
        <w:bottom w:val="none" w:sz="0" w:space="0" w:color="auto"/>
        <w:right w:val="none" w:sz="0" w:space="0" w:color="auto"/>
      </w:divBdr>
    </w:div>
    <w:div w:id="1039163336">
      <w:bodyDiv w:val="1"/>
      <w:marLeft w:val="0"/>
      <w:marRight w:val="0"/>
      <w:marTop w:val="0"/>
      <w:marBottom w:val="0"/>
      <w:divBdr>
        <w:top w:val="none" w:sz="0" w:space="0" w:color="auto"/>
        <w:left w:val="none" w:sz="0" w:space="0" w:color="auto"/>
        <w:bottom w:val="none" w:sz="0" w:space="0" w:color="auto"/>
        <w:right w:val="none" w:sz="0" w:space="0" w:color="auto"/>
      </w:divBdr>
    </w:div>
    <w:div w:id="1051491601">
      <w:bodyDiv w:val="1"/>
      <w:marLeft w:val="0"/>
      <w:marRight w:val="0"/>
      <w:marTop w:val="0"/>
      <w:marBottom w:val="0"/>
      <w:divBdr>
        <w:top w:val="none" w:sz="0" w:space="0" w:color="auto"/>
        <w:left w:val="none" w:sz="0" w:space="0" w:color="auto"/>
        <w:bottom w:val="none" w:sz="0" w:space="0" w:color="auto"/>
        <w:right w:val="none" w:sz="0" w:space="0" w:color="auto"/>
      </w:divBdr>
    </w:div>
    <w:div w:id="1122960932">
      <w:bodyDiv w:val="1"/>
      <w:marLeft w:val="0"/>
      <w:marRight w:val="0"/>
      <w:marTop w:val="0"/>
      <w:marBottom w:val="0"/>
      <w:divBdr>
        <w:top w:val="none" w:sz="0" w:space="0" w:color="auto"/>
        <w:left w:val="none" w:sz="0" w:space="0" w:color="auto"/>
        <w:bottom w:val="none" w:sz="0" w:space="0" w:color="auto"/>
        <w:right w:val="none" w:sz="0" w:space="0" w:color="auto"/>
      </w:divBdr>
    </w:div>
    <w:div w:id="1165785829">
      <w:bodyDiv w:val="1"/>
      <w:marLeft w:val="0"/>
      <w:marRight w:val="0"/>
      <w:marTop w:val="0"/>
      <w:marBottom w:val="0"/>
      <w:divBdr>
        <w:top w:val="none" w:sz="0" w:space="0" w:color="auto"/>
        <w:left w:val="none" w:sz="0" w:space="0" w:color="auto"/>
        <w:bottom w:val="none" w:sz="0" w:space="0" w:color="auto"/>
        <w:right w:val="none" w:sz="0" w:space="0" w:color="auto"/>
      </w:divBdr>
    </w:div>
    <w:div w:id="1190803350">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28287222">
      <w:bodyDiv w:val="1"/>
      <w:marLeft w:val="0"/>
      <w:marRight w:val="0"/>
      <w:marTop w:val="0"/>
      <w:marBottom w:val="0"/>
      <w:divBdr>
        <w:top w:val="none" w:sz="0" w:space="0" w:color="auto"/>
        <w:left w:val="none" w:sz="0" w:space="0" w:color="auto"/>
        <w:bottom w:val="none" w:sz="0" w:space="0" w:color="auto"/>
        <w:right w:val="none" w:sz="0" w:space="0" w:color="auto"/>
      </w:divBdr>
    </w:div>
    <w:div w:id="1581987650">
      <w:bodyDiv w:val="1"/>
      <w:marLeft w:val="0"/>
      <w:marRight w:val="0"/>
      <w:marTop w:val="0"/>
      <w:marBottom w:val="0"/>
      <w:divBdr>
        <w:top w:val="none" w:sz="0" w:space="0" w:color="auto"/>
        <w:left w:val="none" w:sz="0" w:space="0" w:color="auto"/>
        <w:bottom w:val="none" w:sz="0" w:space="0" w:color="auto"/>
        <w:right w:val="none" w:sz="0" w:space="0" w:color="auto"/>
      </w:divBdr>
    </w:div>
    <w:div w:id="1602837101">
      <w:bodyDiv w:val="1"/>
      <w:marLeft w:val="0"/>
      <w:marRight w:val="0"/>
      <w:marTop w:val="0"/>
      <w:marBottom w:val="0"/>
      <w:divBdr>
        <w:top w:val="none" w:sz="0" w:space="0" w:color="auto"/>
        <w:left w:val="none" w:sz="0" w:space="0" w:color="auto"/>
        <w:bottom w:val="none" w:sz="0" w:space="0" w:color="auto"/>
        <w:right w:val="none" w:sz="0" w:space="0" w:color="auto"/>
      </w:divBdr>
    </w:div>
    <w:div w:id="1683818946">
      <w:bodyDiv w:val="1"/>
      <w:marLeft w:val="0"/>
      <w:marRight w:val="0"/>
      <w:marTop w:val="0"/>
      <w:marBottom w:val="0"/>
      <w:divBdr>
        <w:top w:val="none" w:sz="0" w:space="0" w:color="auto"/>
        <w:left w:val="none" w:sz="0" w:space="0" w:color="auto"/>
        <w:bottom w:val="none" w:sz="0" w:space="0" w:color="auto"/>
        <w:right w:val="none" w:sz="0" w:space="0" w:color="auto"/>
      </w:divBdr>
    </w:div>
    <w:div w:id="1726100268">
      <w:bodyDiv w:val="1"/>
      <w:marLeft w:val="0"/>
      <w:marRight w:val="0"/>
      <w:marTop w:val="0"/>
      <w:marBottom w:val="0"/>
      <w:divBdr>
        <w:top w:val="none" w:sz="0" w:space="0" w:color="auto"/>
        <w:left w:val="none" w:sz="0" w:space="0" w:color="auto"/>
        <w:bottom w:val="none" w:sz="0" w:space="0" w:color="auto"/>
        <w:right w:val="none" w:sz="0" w:space="0" w:color="auto"/>
      </w:divBdr>
    </w:div>
    <w:div w:id="1825776026">
      <w:bodyDiv w:val="1"/>
      <w:marLeft w:val="0"/>
      <w:marRight w:val="0"/>
      <w:marTop w:val="0"/>
      <w:marBottom w:val="0"/>
      <w:divBdr>
        <w:top w:val="none" w:sz="0" w:space="0" w:color="auto"/>
        <w:left w:val="none" w:sz="0" w:space="0" w:color="auto"/>
        <w:bottom w:val="none" w:sz="0" w:space="0" w:color="auto"/>
        <w:right w:val="none" w:sz="0" w:space="0" w:color="auto"/>
      </w:divBdr>
    </w:div>
    <w:div w:id="1878539967">
      <w:bodyDiv w:val="1"/>
      <w:marLeft w:val="0"/>
      <w:marRight w:val="0"/>
      <w:marTop w:val="0"/>
      <w:marBottom w:val="0"/>
      <w:divBdr>
        <w:top w:val="none" w:sz="0" w:space="0" w:color="auto"/>
        <w:left w:val="none" w:sz="0" w:space="0" w:color="auto"/>
        <w:bottom w:val="none" w:sz="0" w:space="0" w:color="auto"/>
        <w:right w:val="none" w:sz="0" w:space="0" w:color="auto"/>
      </w:divBdr>
    </w:div>
    <w:div w:id="1918974736">
      <w:bodyDiv w:val="1"/>
      <w:marLeft w:val="0"/>
      <w:marRight w:val="0"/>
      <w:marTop w:val="0"/>
      <w:marBottom w:val="0"/>
      <w:divBdr>
        <w:top w:val="none" w:sz="0" w:space="0" w:color="auto"/>
        <w:left w:val="none" w:sz="0" w:space="0" w:color="auto"/>
        <w:bottom w:val="none" w:sz="0" w:space="0" w:color="auto"/>
        <w:right w:val="none" w:sz="0" w:space="0" w:color="auto"/>
      </w:divBdr>
    </w:div>
    <w:div w:id="2030987642">
      <w:bodyDiv w:val="1"/>
      <w:marLeft w:val="0"/>
      <w:marRight w:val="0"/>
      <w:marTop w:val="0"/>
      <w:marBottom w:val="0"/>
      <w:divBdr>
        <w:top w:val="none" w:sz="0" w:space="0" w:color="auto"/>
        <w:left w:val="none" w:sz="0" w:space="0" w:color="auto"/>
        <w:bottom w:val="none" w:sz="0" w:space="0" w:color="auto"/>
        <w:right w:val="none" w:sz="0" w:space="0" w:color="auto"/>
      </w:divBdr>
    </w:div>
    <w:div w:id="206629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6CD2-0951-4263-8F09-B8710C03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1989</Words>
  <Characters>11339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As Nexia</cp:lastModifiedBy>
  <cp:revision>211</cp:revision>
  <dcterms:created xsi:type="dcterms:W3CDTF">2018-01-02T12:14:00Z</dcterms:created>
  <dcterms:modified xsi:type="dcterms:W3CDTF">2018-12-01T07:16:00Z</dcterms:modified>
</cp:coreProperties>
</file>