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6D99E" w14:textId="7471BE91" w:rsidR="008718BC" w:rsidRPr="00E40082" w:rsidRDefault="008718BC" w:rsidP="00BD2E57">
      <w:pPr>
        <w:jc w:val="both"/>
        <w:rPr>
          <w:rFonts w:ascii="Tahoma" w:hAnsi="Tahoma" w:cs="Tahoma"/>
          <w:b/>
          <w:bCs/>
          <w:sz w:val="20"/>
          <w:szCs w:val="20"/>
          <w:u w:val="single"/>
        </w:rPr>
      </w:pPr>
      <w:r w:rsidRPr="00E40082">
        <w:rPr>
          <w:rFonts w:ascii="Tahoma" w:hAnsi="Tahoma" w:cs="Tahoma"/>
          <w:b/>
          <w:bCs/>
          <w:sz w:val="20"/>
          <w:szCs w:val="20"/>
          <w:u w:val="single"/>
        </w:rPr>
        <w:t>DÖVİZ CİNSİNDEN BORÇ PARA ALIP VERMENİN VERGİSEL SONUÇLARI:</w:t>
      </w:r>
    </w:p>
    <w:p w14:paraId="12F4373A" w14:textId="5087BC34" w:rsidR="008718BC" w:rsidRPr="00E40082" w:rsidRDefault="008718BC" w:rsidP="00BD2E57">
      <w:pPr>
        <w:jc w:val="both"/>
        <w:rPr>
          <w:rFonts w:ascii="Tahoma" w:hAnsi="Tahoma" w:cs="Tahoma"/>
          <w:sz w:val="20"/>
          <w:szCs w:val="20"/>
        </w:rPr>
      </w:pPr>
      <w:r w:rsidRPr="00E40082">
        <w:rPr>
          <w:rFonts w:ascii="Tahoma" w:hAnsi="Tahoma" w:cs="Tahoma"/>
          <w:sz w:val="20"/>
          <w:szCs w:val="20"/>
        </w:rPr>
        <w:t>Yazımız</w:t>
      </w:r>
      <w:r w:rsidR="00B103A7" w:rsidRPr="00E40082">
        <w:rPr>
          <w:rFonts w:ascii="Tahoma" w:hAnsi="Tahoma" w:cs="Tahoma"/>
          <w:sz w:val="20"/>
          <w:szCs w:val="20"/>
        </w:rPr>
        <w:t xml:space="preserve">da kurumlar vergisi mükellefi </w:t>
      </w:r>
      <w:r w:rsidR="00E5735B" w:rsidRPr="00E40082">
        <w:rPr>
          <w:rFonts w:ascii="Tahoma" w:hAnsi="Tahoma" w:cs="Tahoma"/>
          <w:sz w:val="20"/>
          <w:szCs w:val="20"/>
        </w:rPr>
        <w:t>şirketlerin; yurtiçindeki</w:t>
      </w:r>
      <w:r w:rsidRPr="00E40082">
        <w:rPr>
          <w:rFonts w:ascii="Tahoma" w:hAnsi="Tahoma" w:cs="Tahoma"/>
          <w:b/>
          <w:bCs/>
          <w:color w:val="C00000"/>
          <w:sz w:val="20"/>
          <w:szCs w:val="20"/>
        </w:rPr>
        <w:t xml:space="preserve"> </w:t>
      </w:r>
      <w:r w:rsidRPr="00E40082">
        <w:rPr>
          <w:rFonts w:ascii="Tahoma" w:hAnsi="Tahoma" w:cs="Tahoma"/>
          <w:sz w:val="20"/>
          <w:szCs w:val="20"/>
        </w:rPr>
        <w:t xml:space="preserve">gerçek kişi ortaklarından </w:t>
      </w:r>
      <w:r w:rsidR="00B7001B" w:rsidRPr="00E40082">
        <w:rPr>
          <w:rFonts w:ascii="Tahoma" w:hAnsi="Tahoma" w:cs="Tahoma"/>
          <w:sz w:val="20"/>
          <w:szCs w:val="20"/>
        </w:rPr>
        <w:t>ya da</w:t>
      </w:r>
      <w:r w:rsidRPr="00E40082">
        <w:rPr>
          <w:rFonts w:ascii="Tahoma" w:hAnsi="Tahoma" w:cs="Tahoma"/>
          <w:sz w:val="20"/>
          <w:szCs w:val="20"/>
        </w:rPr>
        <w:t xml:space="preserve"> yine </w:t>
      </w:r>
      <w:r w:rsidRPr="00E40082">
        <w:rPr>
          <w:rFonts w:ascii="Tahoma" w:hAnsi="Tahoma" w:cs="Tahoma"/>
          <w:b/>
          <w:bCs/>
          <w:color w:val="C00000"/>
          <w:sz w:val="20"/>
          <w:szCs w:val="20"/>
        </w:rPr>
        <w:t xml:space="preserve">yurtiçindeki </w:t>
      </w:r>
      <w:r w:rsidRPr="00E40082">
        <w:rPr>
          <w:rFonts w:ascii="Tahoma" w:hAnsi="Tahoma" w:cs="Tahoma"/>
          <w:sz w:val="20"/>
          <w:szCs w:val="20"/>
        </w:rPr>
        <w:t xml:space="preserve">aynı gruba dahil şirketlerden </w:t>
      </w:r>
      <w:r w:rsidR="00C6526B" w:rsidRPr="00E40082">
        <w:rPr>
          <w:rFonts w:ascii="Tahoma" w:hAnsi="Tahoma" w:cs="Tahoma"/>
          <w:sz w:val="20"/>
          <w:szCs w:val="20"/>
        </w:rPr>
        <w:t xml:space="preserve">döviz olarak </w:t>
      </w:r>
      <w:r w:rsidRPr="00E40082">
        <w:rPr>
          <w:rFonts w:ascii="Tahoma" w:hAnsi="Tahoma" w:cs="Tahoma"/>
          <w:sz w:val="20"/>
          <w:szCs w:val="20"/>
        </w:rPr>
        <w:t xml:space="preserve">borç para almaları </w:t>
      </w:r>
      <w:r w:rsidR="00B7001B" w:rsidRPr="00E40082">
        <w:rPr>
          <w:rFonts w:ascii="Tahoma" w:hAnsi="Tahoma" w:cs="Tahoma"/>
          <w:sz w:val="20"/>
          <w:szCs w:val="20"/>
        </w:rPr>
        <w:t>ya da</w:t>
      </w:r>
      <w:r w:rsidRPr="00E40082">
        <w:rPr>
          <w:rFonts w:ascii="Tahoma" w:hAnsi="Tahoma" w:cs="Tahoma"/>
          <w:sz w:val="20"/>
          <w:szCs w:val="20"/>
        </w:rPr>
        <w:t xml:space="preserve"> bunlara borç para vermelerinin vergisel açıdan değerlendirmesi yapılmıştır.</w:t>
      </w:r>
    </w:p>
    <w:p w14:paraId="0A7F3F86" w14:textId="5C3FE3D2" w:rsidR="008718BC" w:rsidRPr="00E40082" w:rsidRDefault="00827986" w:rsidP="00BD2E57">
      <w:pPr>
        <w:jc w:val="both"/>
        <w:rPr>
          <w:rFonts w:ascii="Tahoma" w:hAnsi="Tahoma" w:cs="Tahoma"/>
          <w:b/>
          <w:bCs/>
          <w:sz w:val="20"/>
          <w:szCs w:val="20"/>
          <w:u w:val="single"/>
        </w:rPr>
      </w:pPr>
      <w:r w:rsidRPr="00E40082">
        <w:rPr>
          <w:rFonts w:ascii="Tahoma" w:hAnsi="Tahoma" w:cs="Tahoma"/>
          <w:b/>
          <w:bCs/>
          <w:sz w:val="20"/>
          <w:szCs w:val="20"/>
          <w:u w:val="single"/>
        </w:rPr>
        <w:t>1. KAMBİYO MEVZUATI:</w:t>
      </w:r>
    </w:p>
    <w:p w14:paraId="3808BDF2" w14:textId="6F3114FA" w:rsidR="008718BC" w:rsidRPr="00E40082" w:rsidRDefault="008718BC" w:rsidP="00BD2E57">
      <w:pPr>
        <w:jc w:val="both"/>
        <w:rPr>
          <w:rFonts w:ascii="Tahoma" w:hAnsi="Tahoma" w:cs="Tahoma"/>
          <w:b/>
          <w:bCs/>
          <w:sz w:val="20"/>
          <w:szCs w:val="20"/>
        </w:rPr>
      </w:pPr>
      <w:r w:rsidRPr="00E40082">
        <w:rPr>
          <w:rFonts w:ascii="Tahoma" w:hAnsi="Tahoma" w:cs="Tahoma"/>
          <w:b/>
          <w:bCs/>
          <w:sz w:val="20"/>
          <w:szCs w:val="20"/>
          <w:u w:val="single"/>
        </w:rPr>
        <w:t>1.1.1567 Sayılı Türk Parasının Kıymetini Koruma Hakkında Kanun:</w:t>
      </w:r>
    </w:p>
    <w:p w14:paraId="03DE4419" w14:textId="7CE23724" w:rsidR="008D1176" w:rsidRPr="00E40082" w:rsidRDefault="008D1176" w:rsidP="00BD2E57">
      <w:pPr>
        <w:jc w:val="both"/>
        <w:rPr>
          <w:rFonts w:ascii="Tahoma" w:hAnsi="Tahoma" w:cs="Tahoma"/>
          <w:sz w:val="20"/>
          <w:szCs w:val="20"/>
        </w:rPr>
      </w:pPr>
      <w:r w:rsidRPr="00E40082">
        <w:rPr>
          <w:rFonts w:ascii="Tahoma" w:hAnsi="Tahoma" w:cs="Tahoma"/>
          <w:sz w:val="20"/>
          <w:szCs w:val="20"/>
        </w:rPr>
        <w:t xml:space="preserve">Türk Parasının Kıymetini Koruma Hakkında 1567 sayılı Kanunda; dövizli borç para alıp vermelerle ilgili bir hüküm </w:t>
      </w:r>
      <w:r w:rsidR="008718BC" w:rsidRPr="00E40082">
        <w:rPr>
          <w:rFonts w:ascii="Tahoma" w:hAnsi="Tahoma" w:cs="Tahoma"/>
          <w:sz w:val="20"/>
          <w:szCs w:val="20"/>
        </w:rPr>
        <w:t>bulunmamaktadır.</w:t>
      </w:r>
    </w:p>
    <w:p w14:paraId="21849268" w14:textId="6E5DD470" w:rsidR="008D1176" w:rsidRPr="00E40082" w:rsidRDefault="008D1176" w:rsidP="00BD2E57">
      <w:pPr>
        <w:jc w:val="both"/>
        <w:rPr>
          <w:rFonts w:ascii="Tahoma" w:hAnsi="Tahoma" w:cs="Tahoma"/>
          <w:sz w:val="20"/>
          <w:szCs w:val="20"/>
        </w:rPr>
      </w:pPr>
      <w:hyperlink r:id="rId8" w:history="1">
        <w:r w:rsidRPr="00E40082">
          <w:rPr>
            <w:rStyle w:val="Kpr"/>
            <w:rFonts w:ascii="Tahoma" w:hAnsi="Tahoma" w:cs="Tahoma"/>
            <w:sz w:val="20"/>
            <w:szCs w:val="20"/>
          </w:rPr>
          <w:t>https://www.mevzuat.gov.tr/mevzuat?MevzuatNo=1567&amp;MevzuatTur=1&amp;MevzuatTertip=3</w:t>
        </w:r>
      </w:hyperlink>
    </w:p>
    <w:p w14:paraId="15F46736" w14:textId="38309B0D" w:rsidR="008D1176" w:rsidRPr="00E40082" w:rsidRDefault="008D1176" w:rsidP="00BD2E57">
      <w:pPr>
        <w:jc w:val="both"/>
        <w:rPr>
          <w:rFonts w:ascii="Tahoma" w:hAnsi="Tahoma" w:cs="Tahoma"/>
          <w:sz w:val="20"/>
          <w:szCs w:val="20"/>
        </w:rPr>
      </w:pPr>
      <w:r w:rsidRPr="00E40082">
        <w:rPr>
          <w:rFonts w:ascii="Tahoma" w:hAnsi="Tahoma" w:cs="Tahoma"/>
          <w:sz w:val="20"/>
          <w:szCs w:val="20"/>
        </w:rPr>
        <w:t xml:space="preserve">Ancak; </w:t>
      </w:r>
      <w:r w:rsidR="00B7001B" w:rsidRPr="00E40082">
        <w:rPr>
          <w:rFonts w:ascii="Tahoma" w:hAnsi="Tahoma" w:cs="Tahoma"/>
          <w:sz w:val="20"/>
          <w:szCs w:val="20"/>
        </w:rPr>
        <w:t>1. maddede</w:t>
      </w:r>
      <w:r w:rsidRPr="00E40082">
        <w:rPr>
          <w:rFonts w:ascii="Tahoma" w:hAnsi="Tahoma" w:cs="Tahoma"/>
          <w:sz w:val="20"/>
          <w:szCs w:val="20"/>
        </w:rPr>
        <w:t xml:space="preserve"> Cumhurbaşkanına aşağıdaki hususlarda yetki verilmiş</w:t>
      </w:r>
      <w:r w:rsidR="00BA7C98" w:rsidRPr="00E40082">
        <w:rPr>
          <w:rFonts w:ascii="Tahoma" w:hAnsi="Tahoma" w:cs="Tahoma"/>
          <w:sz w:val="20"/>
          <w:szCs w:val="20"/>
        </w:rPr>
        <w:t>tir</w:t>
      </w:r>
      <w:r w:rsidRPr="00E40082">
        <w:rPr>
          <w:rFonts w:ascii="Tahoma" w:hAnsi="Tahoma" w:cs="Tahoma"/>
          <w:sz w:val="20"/>
          <w:szCs w:val="20"/>
        </w:rPr>
        <w:t>:</w:t>
      </w:r>
    </w:p>
    <w:p w14:paraId="1819ACE0" w14:textId="76F24594" w:rsidR="008D1176" w:rsidRPr="00E40082" w:rsidRDefault="008D1176" w:rsidP="00BD2E57">
      <w:pPr>
        <w:jc w:val="both"/>
        <w:rPr>
          <w:rFonts w:ascii="Tahoma" w:hAnsi="Tahoma" w:cs="Tahoma"/>
          <w:i/>
          <w:iCs/>
          <w:sz w:val="20"/>
          <w:szCs w:val="20"/>
        </w:rPr>
      </w:pPr>
      <w:r w:rsidRPr="00E40082">
        <w:rPr>
          <w:rFonts w:ascii="Tahoma" w:hAnsi="Tahoma" w:cs="Tahoma"/>
          <w:i/>
          <w:iCs/>
          <w:sz w:val="20"/>
          <w:szCs w:val="20"/>
        </w:rPr>
        <w:t>“Kambiyo, nukut, esham ve tahvilat alım satımı ve kıymetli madenler ve kıymetli taşlarla bunlardan mamul veya bunları muhtevi her nevi eşya ve kıymetlerin alım satımı, kıymetli madenlerin rafinajı ile tüm bu eşya ve kıymetlerin, ticari senetlerin ve tediyeyi temine yarayan her türlü vasıta ve vesikaların memleketten ihracı veya memlekete ithalinin tanzim ve tahdidine ve Türk Parasının kıymetinin korunması zımnında kararlar ittihazına Cumhurbaşkanı salahiyetlidir.”</w:t>
      </w:r>
    </w:p>
    <w:p w14:paraId="0826A1FE" w14:textId="68033EB0" w:rsidR="008D1176" w:rsidRPr="00E40082" w:rsidRDefault="008D1176" w:rsidP="00BD2E57">
      <w:pPr>
        <w:jc w:val="both"/>
        <w:rPr>
          <w:rFonts w:ascii="Tahoma" w:hAnsi="Tahoma" w:cs="Tahoma"/>
          <w:sz w:val="20"/>
          <w:szCs w:val="20"/>
        </w:rPr>
      </w:pPr>
      <w:r w:rsidRPr="00E40082">
        <w:rPr>
          <w:rFonts w:ascii="Tahoma" w:hAnsi="Tahoma" w:cs="Tahoma"/>
          <w:sz w:val="20"/>
          <w:szCs w:val="20"/>
        </w:rPr>
        <w:t>Aynı Kanunun 3.</w:t>
      </w:r>
      <w:r w:rsidR="00B7001B" w:rsidRPr="00E40082">
        <w:rPr>
          <w:rFonts w:ascii="Tahoma" w:hAnsi="Tahoma" w:cs="Tahoma"/>
          <w:sz w:val="20"/>
          <w:szCs w:val="20"/>
        </w:rPr>
        <w:t>maddesinde; Cumhurbaşkanının</w:t>
      </w:r>
      <w:r w:rsidRPr="00E40082">
        <w:rPr>
          <w:rFonts w:ascii="Tahoma" w:hAnsi="Tahoma" w:cs="Tahoma"/>
          <w:sz w:val="20"/>
          <w:szCs w:val="20"/>
        </w:rPr>
        <w:t xml:space="preserve"> bu Kanun hükümlerine göre yapmış bulunduğu genel ve düzenleyici işlemlerdeki yükümlülüklere aykırı hareket eden kişilere uygulanacak idari para cezalarına yer verilmiş</w:t>
      </w:r>
      <w:r w:rsidR="00BA7C98" w:rsidRPr="00E40082">
        <w:rPr>
          <w:rFonts w:ascii="Tahoma" w:hAnsi="Tahoma" w:cs="Tahoma"/>
          <w:sz w:val="20"/>
          <w:szCs w:val="20"/>
        </w:rPr>
        <w:t>tir</w:t>
      </w:r>
      <w:r w:rsidRPr="00E40082">
        <w:rPr>
          <w:rFonts w:ascii="Tahoma" w:hAnsi="Tahoma" w:cs="Tahoma"/>
          <w:sz w:val="20"/>
          <w:szCs w:val="20"/>
        </w:rPr>
        <w:t>.</w:t>
      </w:r>
      <w:r w:rsidR="008718BC" w:rsidRPr="00E40082">
        <w:rPr>
          <w:rFonts w:ascii="Tahoma" w:hAnsi="Tahoma" w:cs="Tahoma"/>
          <w:sz w:val="20"/>
          <w:szCs w:val="20"/>
        </w:rPr>
        <w:t xml:space="preserve"> İdari para cezaları </w:t>
      </w:r>
      <w:r w:rsidR="009227A4" w:rsidRPr="00E40082">
        <w:rPr>
          <w:rFonts w:ascii="Tahoma" w:hAnsi="Tahoma" w:cs="Tahoma"/>
          <w:sz w:val="20"/>
          <w:szCs w:val="20"/>
        </w:rPr>
        <w:t xml:space="preserve">5326 sayılı </w:t>
      </w:r>
      <w:r w:rsidR="008718BC" w:rsidRPr="00E40082">
        <w:rPr>
          <w:rFonts w:ascii="Tahoma" w:hAnsi="Tahoma" w:cs="Tahoma"/>
          <w:sz w:val="20"/>
          <w:szCs w:val="20"/>
        </w:rPr>
        <w:t>Kabahatler Kanununa göre uygulanmaktadır.</w:t>
      </w:r>
    </w:p>
    <w:p w14:paraId="6DAA7A53" w14:textId="39F039FB" w:rsidR="008718BC" w:rsidRPr="00E40082" w:rsidRDefault="008718BC" w:rsidP="00BD2E57">
      <w:pPr>
        <w:jc w:val="both"/>
        <w:rPr>
          <w:rFonts w:ascii="Tahoma" w:hAnsi="Tahoma" w:cs="Tahoma"/>
          <w:b/>
          <w:bCs/>
          <w:sz w:val="20"/>
          <w:szCs w:val="20"/>
          <w:u w:val="single"/>
        </w:rPr>
      </w:pPr>
      <w:r w:rsidRPr="00E40082">
        <w:rPr>
          <w:rFonts w:ascii="Tahoma" w:hAnsi="Tahoma" w:cs="Tahoma"/>
          <w:b/>
          <w:bCs/>
          <w:sz w:val="20"/>
          <w:szCs w:val="20"/>
          <w:u w:val="single"/>
        </w:rPr>
        <w:t>1.</w:t>
      </w:r>
      <w:r w:rsidR="000C23D5" w:rsidRPr="00E40082">
        <w:rPr>
          <w:rFonts w:ascii="Tahoma" w:hAnsi="Tahoma" w:cs="Tahoma"/>
          <w:b/>
          <w:bCs/>
          <w:sz w:val="20"/>
          <w:szCs w:val="20"/>
          <w:u w:val="single"/>
        </w:rPr>
        <w:t>2</w:t>
      </w:r>
      <w:r w:rsidRPr="00E40082">
        <w:rPr>
          <w:rFonts w:ascii="Tahoma" w:hAnsi="Tahoma" w:cs="Tahoma"/>
          <w:b/>
          <w:bCs/>
          <w:sz w:val="20"/>
          <w:szCs w:val="20"/>
          <w:u w:val="single"/>
        </w:rPr>
        <w:t xml:space="preserve">.Türk Parasının Kıymetini Koruma Hakkında </w:t>
      </w:r>
      <w:r w:rsidR="00B103A7" w:rsidRPr="00E40082">
        <w:rPr>
          <w:rFonts w:ascii="Tahoma" w:hAnsi="Tahoma" w:cs="Tahoma"/>
          <w:b/>
          <w:bCs/>
          <w:sz w:val="20"/>
          <w:szCs w:val="20"/>
          <w:u w:val="single"/>
        </w:rPr>
        <w:t>32 Sayılı Karar</w:t>
      </w:r>
      <w:r w:rsidRPr="00E40082">
        <w:rPr>
          <w:rFonts w:ascii="Tahoma" w:hAnsi="Tahoma" w:cs="Tahoma"/>
          <w:b/>
          <w:bCs/>
          <w:sz w:val="20"/>
          <w:szCs w:val="20"/>
          <w:u w:val="single"/>
        </w:rPr>
        <w:t>:</w:t>
      </w:r>
    </w:p>
    <w:p w14:paraId="04730416" w14:textId="5D4C1A87" w:rsidR="00A90073" w:rsidRPr="00E40082" w:rsidRDefault="00C6526B" w:rsidP="00BD2E57">
      <w:pPr>
        <w:jc w:val="both"/>
        <w:rPr>
          <w:rFonts w:ascii="Tahoma" w:hAnsi="Tahoma" w:cs="Tahoma"/>
          <w:sz w:val="20"/>
          <w:szCs w:val="20"/>
        </w:rPr>
      </w:pPr>
      <w:r w:rsidRPr="00E40082">
        <w:rPr>
          <w:rFonts w:ascii="Tahoma" w:hAnsi="Tahoma" w:cs="Tahoma"/>
          <w:sz w:val="20"/>
          <w:szCs w:val="20"/>
        </w:rPr>
        <w:t xml:space="preserve">1567 sayılı </w:t>
      </w:r>
      <w:r w:rsidR="00A90073" w:rsidRPr="00E40082">
        <w:rPr>
          <w:rFonts w:ascii="Tahoma" w:hAnsi="Tahoma" w:cs="Tahoma"/>
          <w:sz w:val="20"/>
          <w:szCs w:val="20"/>
        </w:rPr>
        <w:t>Kanundaki yetkiye dayanılarak yayımlan</w:t>
      </w:r>
      <w:r w:rsidRPr="00E40082">
        <w:rPr>
          <w:rFonts w:ascii="Tahoma" w:hAnsi="Tahoma" w:cs="Tahoma"/>
          <w:sz w:val="20"/>
          <w:szCs w:val="20"/>
        </w:rPr>
        <w:t>mış olan</w:t>
      </w:r>
      <w:r w:rsidR="00A90073" w:rsidRPr="00E40082">
        <w:rPr>
          <w:rFonts w:ascii="Tahoma" w:hAnsi="Tahoma" w:cs="Tahoma"/>
          <w:sz w:val="20"/>
          <w:szCs w:val="20"/>
        </w:rPr>
        <w:t xml:space="preserve"> Türk Parası Kıymetini Koruma Hakkında 32 Sayılı </w:t>
      </w:r>
      <w:r w:rsidR="00B7001B" w:rsidRPr="00E40082">
        <w:rPr>
          <w:rFonts w:ascii="Tahoma" w:hAnsi="Tahoma" w:cs="Tahoma"/>
          <w:sz w:val="20"/>
          <w:szCs w:val="20"/>
        </w:rPr>
        <w:t>Kararın 17</w:t>
      </w:r>
      <w:r w:rsidR="008718BC" w:rsidRPr="00E40082">
        <w:rPr>
          <w:rFonts w:ascii="Tahoma" w:hAnsi="Tahoma" w:cs="Tahoma"/>
          <w:sz w:val="20"/>
          <w:szCs w:val="20"/>
        </w:rPr>
        <w:t xml:space="preserve">/A </w:t>
      </w:r>
      <w:r w:rsidR="00B7001B" w:rsidRPr="00E40082">
        <w:rPr>
          <w:rFonts w:ascii="Tahoma" w:hAnsi="Tahoma" w:cs="Tahoma"/>
          <w:sz w:val="20"/>
          <w:szCs w:val="20"/>
        </w:rPr>
        <w:t>maddesi (</w:t>
      </w:r>
      <w:r w:rsidR="00A90073" w:rsidRPr="00E40082">
        <w:rPr>
          <w:rFonts w:ascii="Tahoma" w:hAnsi="Tahoma" w:cs="Tahoma"/>
          <w:sz w:val="20"/>
          <w:szCs w:val="20"/>
        </w:rPr>
        <w:t>Yurtiçinden Temin Edilen Krediler</w:t>
      </w:r>
      <w:r w:rsidR="008718BC" w:rsidRPr="00E40082">
        <w:rPr>
          <w:rFonts w:ascii="Tahoma" w:hAnsi="Tahoma" w:cs="Tahoma"/>
          <w:sz w:val="20"/>
          <w:szCs w:val="20"/>
        </w:rPr>
        <w:t>)</w:t>
      </w:r>
      <w:r w:rsidR="00A90073" w:rsidRPr="00E40082">
        <w:rPr>
          <w:rFonts w:ascii="Tahoma" w:hAnsi="Tahoma" w:cs="Tahoma"/>
          <w:sz w:val="20"/>
          <w:szCs w:val="20"/>
        </w:rPr>
        <w:t xml:space="preserve"> konumuzla ilgili</w:t>
      </w:r>
      <w:r w:rsidRPr="00E40082">
        <w:rPr>
          <w:rFonts w:ascii="Tahoma" w:hAnsi="Tahoma" w:cs="Tahoma"/>
          <w:sz w:val="20"/>
          <w:szCs w:val="20"/>
        </w:rPr>
        <w:t>dir.</w:t>
      </w:r>
      <w:r w:rsidR="00A90073" w:rsidRPr="00E40082">
        <w:rPr>
          <w:rFonts w:ascii="Tahoma" w:hAnsi="Tahoma" w:cs="Tahoma"/>
          <w:sz w:val="20"/>
          <w:szCs w:val="20"/>
        </w:rPr>
        <w:t xml:space="preserve"> </w:t>
      </w:r>
    </w:p>
    <w:p w14:paraId="2AA814CE" w14:textId="432DC224" w:rsidR="006E03BF" w:rsidRPr="00E40082" w:rsidRDefault="006E03BF" w:rsidP="00BD2E57">
      <w:pPr>
        <w:jc w:val="both"/>
        <w:rPr>
          <w:rFonts w:ascii="Tahoma" w:hAnsi="Tahoma" w:cs="Tahoma"/>
          <w:sz w:val="20"/>
          <w:szCs w:val="20"/>
        </w:rPr>
      </w:pPr>
      <w:hyperlink r:id="rId9" w:history="1">
        <w:r w:rsidRPr="00E40082">
          <w:rPr>
            <w:rStyle w:val="Kpr"/>
            <w:rFonts w:ascii="Tahoma" w:hAnsi="Tahoma" w:cs="Tahoma"/>
            <w:sz w:val="20"/>
            <w:szCs w:val="20"/>
          </w:rPr>
          <w:t>https://ms.hmb.gov.tr/uploads/2025/07/Turk-Parasi-Kiymetini-Koruma-Hakkinda-32-Sayili-Karar-dd7747872eb324d4.pdf</w:t>
        </w:r>
      </w:hyperlink>
    </w:p>
    <w:p w14:paraId="089199A0" w14:textId="02F1F124" w:rsidR="003512D0" w:rsidRPr="00E40082" w:rsidRDefault="00E5735B" w:rsidP="00BD2E57">
      <w:pPr>
        <w:jc w:val="both"/>
        <w:rPr>
          <w:rFonts w:ascii="Tahoma" w:hAnsi="Tahoma" w:cs="Tahoma"/>
          <w:sz w:val="20"/>
          <w:szCs w:val="20"/>
        </w:rPr>
      </w:pPr>
      <w:r w:rsidRPr="00E40082">
        <w:rPr>
          <w:rFonts w:ascii="Tahoma" w:hAnsi="Tahoma" w:cs="Tahoma"/>
          <w:sz w:val="20"/>
          <w:szCs w:val="20"/>
        </w:rPr>
        <w:t>Söz konusu</w:t>
      </w:r>
      <w:r w:rsidR="003512D0" w:rsidRPr="00E40082">
        <w:rPr>
          <w:rFonts w:ascii="Tahoma" w:hAnsi="Tahoma" w:cs="Tahoma"/>
          <w:sz w:val="20"/>
          <w:szCs w:val="20"/>
        </w:rPr>
        <w:t xml:space="preserve"> 17/A </w:t>
      </w:r>
      <w:r w:rsidR="00C6526B" w:rsidRPr="00E40082">
        <w:rPr>
          <w:rFonts w:ascii="Tahoma" w:hAnsi="Tahoma" w:cs="Tahoma"/>
          <w:sz w:val="20"/>
          <w:szCs w:val="20"/>
        </w:rPr>
        <w:t>m</w:t>
      </w:r>
      <w:r w:rsidR="003512D0" w:rsidRPr="00E40082">
        <w:rPr>
          <w:rFonts w:ascii="Tahoma" w:hAnsi="Tahoma" w:cs="Tahoma"/>
          <w:sz w:val="20"/>
          <w:szCs w:val="20"/>
        </w:rPr>
        <w:t>addesinde;</w:t>
      </w:r>
    </w:p>
    <w:p w14:paraId="6B9C1365" w14:textId="77777777" w:rsidR="003512D0" w:rsidRPr="00E40082" w:rsidRDefault="003512D0" w:rsidP="00BD2E57">
      <w:pPr>
        <w:jc w:val="both"/>
        <w:rPr>
          <w:rFonts w:ascii="Tahoma" w:hAnsi="Tahoma" w:cs="Tahoma"/>
          <w:i/>
          <w:iCs/>
          <w:sz w:val="20"/>
          <w:szCs w:val="20"/>
        </w:rPr>
      </w:pPr>
      <w:r w:rsidRPr="00E40082">
        <w:rPr>
          <w:rFonts w:ascii="Tahoma" w:hAnsi="Tahoma" w:cs="Tahoma"/>
          <w:i/>
          <w:iCs/>
          <w:sz w:val="20"/>
          <w:szCs w:val="20"/>
        </w:rPr>
        <w:t>Bankalar ile Türkiye'de yerleşik finansal kiralama şirketleri, faktoring şirketleri ve finansman şirketleri, Türkiye'de yerleşik kişilere bu maddede yer alan esaslar çerçevesinde döviz kredisi kullandırabilirler.</w:t>
      </w:r>
    </w:p>
    <w:p w14:paraId="755D1725" w14:textId="417F7A93" w:rsidR="00AE5DA5" w:rsidRPr="00E40082" w:rsidRDefault="00AE5DA5" w:rsidP="00BD2E57">
      <w:pPr>
        <w:jc w:val="both"/>
        <w:rPr>
          <w:rFonts w:ascii="Tahoma" w:hAnsi="Tahoma" w:cs="Tahoma"/>
          <w:i/>
          <w:iCs/>
          <w:sz w:val="20"/>
          <w:szCs w:val="20"/>
        </w:rPr>
      </w:pPr>
      <w:r w:rsidRPr="00E40082">
        <w:rPr>
          <w:rFonts w:ascii="Tahoma" w:hAnsi="Tahoma" w:cs="Tahoma"/>
          <w:i/>
          <w:iCs/>
          <w:sz w:val="20"/>
          <w:szCs w:val="20"/>
        </w:rPr>
        <w:t>Türkiye'de yerleşik gerçek kişilerce yurt içinden döviz kredisi kullanılamaz.</w:t>
      </w:r>
    </w:p>
    <w:p w14:paraId="3148861D" w14:textId="789BCB59" w:rsidR="00AE5DA5" w:rsidRPr="00E40082" w:rsidRDefault="00AE5DA5" w:rsidP="00BD2E57">
      <w:pPr>
        <w:jc w:val="both"/>
        <w:rPr>
          <w:rFonts w:ascii="Tahoma" w:hAnsi="Tahoma" w:cs="Tahoma"/>
          <w:i/>
          <w:iCs/>
          <w:sz w:val="20"/>
          <w:szCs w:val="20"/>
        </w:rPr>
      </w:pPr>
      <w:r w:rsidRPr="00E40082">
        <w:rPr>
          <w:rFonts w:ascii="Tahoma" w:hAnsi="Tahoma" w:cs="Tahoma"/>
          <w:i/>
          <w:iCs/>
          <w:sz w:val="20"/>
          <w:szCs w:val="20"/>
        </w:rPr>
        <w:t>Türkiye'de yerleşik kişilere dövize endeksli kredi kullandırılamaz.</w:t>
      </w:r>
    </w:p>
    <w:p w14:paraId="7A38785C" w14:textId="2DBCEC99" w:rsidR="000C02EC" w:rsidRPr="00E40082" w:rsidRDefault="000C02EC" w:rsidP="00BD2E57">
      <w:pPr>
        <w:jc w:val="both"/>
        <w:rPr>
          <w:rFonts w:ascii="Tahoma" w:hAnsi="Tahoma" w:cs="Tahoma"/>
          <w:sz w:val="20"/>
          <w:szCs w:val="20"/>
        </w:rPr>
      </w:pPr>
      <w:proofErr w:type="gramStart"/>
      <w:r w:rsidRPr="00E40082">
        <w:rPr>
          <w:rFonts w:ascii="Tahoma" w:hAnsi="Tahoma" w:cs="Tahoma"/>
          <w:sz w:val="20"/>
          <w:szCs w:val="20"/>
        </w:rPr>
        <w:t>ifade</w:t>
      </w:r>
      <w:r w:rsidR="00AE5DA5" w:rsidRPr="00E40082">
        <w:rPr>
          <w:rFonts w:ascii="Tahoma" w:hAnsi="Tahoma" w:cs="Tahoma"/>
          <w:sz w:val="20"/>
          <w:szCs w:val="20"/>
        </w:rPr>
        <w:t>leri</w:t>
      </w:r>
      <w:proofErr w:type="gramEnd"/>
      <w:r w:rsidRPr="00E40082">
        <w:rPr>
          <w:rFonts w:ascii="Tahoma" w:hAnsi="Tahoma" w:cs="Tahoma"/>
          <w:sz w:val="20"/>
          <w:szCs w:val="20"/>
        </w:rPr>
        <w:t xml:space="preserve"> mevcut </w:t>
      </w:r>
      <w:r w:rsidR="00B7001B" w:rsidRPr="00E40082">
        <w:rPr>
          <w:rFonts w:ascii="Tahoma" w:hAnsi="Tahoma" w:cs="Tahoma"/>
          <w:sz w:val="20"/>
          <w:szCs w:val="20"/>
        </w:rPr>
        <w:t>olup, maddede</w:t>
      </w:r>
      <w:r w:rsidR="00AE5DA5" w:rsidRPr="00E40082">
        <w:rPr>
          <w:rFonts w:ascii="Tahoma" w:hAnsi="Tahoma" w:cs="Tahoma"/>
          <w:sz w:val="20"/>
          <w:szCs w:val="20"/>
        </w:rPr>
        <w:t xml:space="preserve"> </w:t>
      </w:r>
      <w:r w:rsidRPr="00E40082">
        <w:rPr>
          <w:rFonts w:ascii="Tahoma" w:hAnsi="Tahoma" w:cs="Tahoma"/>
          <w:sz w:val="20"/>
          <w:szCs w:val="20"/>
        </w:rPr>
        <w:t>döviz kredisi kullanımının şartları belirlenmiştir.</w:t>
      </w:r>
    </w:p>
    <w:p w14:paraId="7D68A42C" w14:textId="030C9C89" w:rsidR="00A9367D" w:rsidRPr="00E40082" w:rsidRDefault="00A9367D" w:rsidP="00BD2E57">
      <w:pPr>
        <w:jc w:val="both"/>
        <w:rPr>
          <w:rFonts w:ascii="Tahoma" w:hAnsi="Tahoma" w:cs="Tahoma"/>
          <w:b/>
          <w:bCs/>
          <w:sz w:val="20"/>
          <w:szCs w:val="20"/>
          <w:u w:val="single"/>
        </w:rPr>
      </w:pPr>
      <w:r w:rsidRPr="00E40082">
        <w:rPr>
          <w:rFonts w:ascii="Tahoma" w:hAnsi="Tahoma" w:cs="Tahoma"/>
          <w:b/>
          <w:bCs/>
          <w:sz w:val="20"/>
          <w:szCs w:val="20"/>
          <w:u w:val="single"/>
        </w:rPr>
        <w:t>1.3. Türk Parası Kıymetini Koruma Hakkında 32 Sayılı Karara İlişkin 2008-32/34 Saylı Tebliğ:</w:t>
      </w:r>
    </w:p>
    <w:p w14:paraId="45A8F26A" w14:textId="21CCAA78" w:rsidR="00A9367D" w:rsidRPr="00E40082" w:rsidRDefault="00A9367D" w:rsidP="00BD2E57">
      <w:pPr>
        <w:jc w:val="both"/>
        <w:rPr>
          <w:rFonts w:ascii="Tahoma" w:hAnsi="Tahoma" w:cs="Tahoma"/>
          <w:b/>
          <w:bCs/>
          <w:sz w:val="20"/>
          <w:szCs w:val="20"/>
          <w:u w:val="single"/>
        </w:rPr>
      </w:pPr>
      <w:r w:rsidRPr="00E40082">
        <w:rPr>
          <w:rFonts w:ascii="Tahoma" w:hAnsi="Tahoma" w:cs="Tahoma"/>
          <w:sz w:val="20"/>
          <w:szCs w:val="20"/>
        </w:rPr>
        <w:t>Tebliğin “</w:t>
      </w:r>
      <w:r w:rsidRPr="00E40082">
        <w:rPr>
          <w:rFonts w:ascii="Tahoma" w:hAnsi="Tahoma" w:cs="Tahoma"/>
          <w:b/>
          <w:bCs/>
          <w:sz w:val="20"/>
          <w:szCs w:val="20"/>
        </w:rPr>
        <w:t xml:space="preserve">Döviz Cinsinden ve Dövize Endeksli Sözleşmeler” </w:t>
      </w:r>
      <w:r w:rsidR="00B7001B" w:rsidRPr="00E40082">
        <w:rPr>
          <w:rFonts w:ascii="Tahoma" w:hAnsi="Tahoma" w:cs="Tahoma"/>
          <w:sz w:val="20"/>
          <w:szCs w:val="20"/>
        </w:rPr>
        <w:t>başlıklı 8.</w:t>
      </w:r>
      <w:r w:rsidR="00C6526B" w:rsidRPr="00E40082">
        <w:rPr>
          <w:rFonts w:ascii="Tahoma" w:hAnsi="Tahoma" w:cs="Tahoma"/>
          <w:sz w:val="20"/>
          <w:szCs w:val="20"/>
        </w:rPr>
        <w:t>m</w:t>
      </w:r>
      <w:r w:rsidRPr="00E40082">
        <w:rPr>
          <w:rFonts w:ascii="Tahoma" w:hAnsi="Tahoma" w:cs="Tahoma"/>
          <w:sz w:val="20"/>
          <w:szCs w:val="20"/>
        </w:rPr>
        <w:t xml:space="preserve">addesinde; döviz cinsinden veya dövize endeksli olarak </w:t>
      </w:r>
      <w:r w:rsidR="00C6526B" w:rsidRPr="00E40082">
        <w:rPr>
          <w:rFonts w:ascii="Tahoma" w:hAnsi="Tahoma" w:cs="Tahoma"/>
          <w:sz w:val="20"/>
          <w:szCs w:val="20"/>
        </w:rPr>
        <w:t xml:space="preserve">ödeme yapılması </w:t>
      </w:r>
      <w:r w:rsidRPr="00E40082">
        <w:rPr>
          <w:rFonts w:ascii="Tahoma" w:hAnsi="Tahoma" w:cs="Tahoma"/>
          <w:sz w:val="20"/>
          <w:szCs w:val="20"/>
        </w:rPr>
        <w:t xml:space="preserve">ve sözleşme düzenlenmesi yasak olan işlemler sayılmıştır. </w:t>
      </w:r>
      <w:r w:rsidR="006E03BF" w:rsidRPr="00E40082">
        <w:rPr>
          <w:rFonts w:ascii="Tahoma" w:hAnsi="Tahoma" w:cs="Tahoma"/>
          <w:sz w:val="20"/>
          <w:szCs w:val="20"/>
        </w:rPr>
        <w:t xml:space="preserve">(Taşınmaz alım satımı, kiralanması, bazı </w:t>
      </w:r>
      <w:r w:rsidR="00B7001B" w:rsidRPr="00E40082">
        <w:rPr>
          <w:rFonts w:ascii="Tahoma" w:hAnsi="Tahoma" w:cs="Tahoma"/>
          <w:sz w:val="20"/>
          <w:szCs w:val="20"/>
        </w:rPr>
        <w:t>hizmetler, emtia</w:t>
      </w:r>
      <w:r w:rsidR="006E03BF" w:rsidRPr="00E40082">
        <w:rPr>
          <w:rFonts w:ascii="Tahoma" w:hAnsi="Tahoma" w:cs="Tahoma"/>
          <w:sz w:val="20"/>
          <w:szCs w:val="20"/>
        </w:rPr>
        <w:t xml:space="preserve"> alım satımı vs.) </w:t>
      </w:r>
      <w:r w:rsidRPr="00E40082">
        <w:rPr>
          <w:rFonts w:ascii="Tahoma" w:hAnsi="Tahoma" w:cs="Tahoma"/>
          <w:b/>
          <w:bCs/>
          <w:sz w:val="20"/>
          <w:szCs w:val="20"/>
          <w:u w:val="single"/>
        </w:rPr>
        <w:t xml:space="preserve">Burada sayılanlar arasında döviz cinsinden borç para alışverişi bulunmamaktadır. Diğer bir ifadeyle; döviz cinsinden borç para alıp </w:t>
      </w:r>
      <w:r w:rsidR="00B7001B" w:rsidRPr="00E40082">
        <w:rPr>
          <w:rFonts w:ascii="Tahoma" w:hAnsi="Tahoma" w:cs="Tahoma"/>
          <w:b/>
          <w:bCs/>
          <w:sz w:val="20"/>
          <w:szCs w:val="20"/>
          <w:u w:val="single"/>
        </w:rPr>
        <w:t>vermek bu</w:t>
      </w:r>
      <w:r w:rsidRPr="00E40082">
        <w:rPr>
          <w:rFonts w:ascii="Tahoma" w:hAnsi="Tahoma" w:cs="Tahoma"/>
          <w:b/>
          <w:bCs/>
          <w:sz w:val="20"/>
          <w:szCs w:val="20"/>
          <w:u w:val="single"/>
        </w:rPr>
        <w:t xml:space="preserve"> </w:t>
      </w:r>
      <w:r w:rsidR="00C6526B" w:rsidRPr="00E40082">
        <w:rPr>
          <w:rFonts w:ascii="Tahoma" w:hAnsi="Tahoma" w:cs="Tahoma"/>
          <w:b/>
          <w:bCs/>
          <w:sz w:val="20"/>
          <w:szCs w:val="20"/>
          <w:u w:val="single"/>
        </w:rPr>
        <w:t>m</w:t>
      </w:r>
      <w:r w:rsidRPr="00E40082">
        <w:rPr>
          <w:rFonts w:ascii="Tahoma" w:hAnsi="Tahoma" w:cs="Tahoma"/>
          <w:b/>
          <w:bCs/>
          <w:sz w:val="20"/>
          <w:szCs w:val="20"/>
          <w:u w:val="single"/>
        </w:rPr>
        <w:t>adde kapsamına girmemektedir.</w:t>
      </w:r>
    </w:p>
    <w:p w14:paraId="33BE831F" w14:textId="2EB8FAD4" w:rsidR="006E03BF" w:rsidRPr="00E40082" w:rsidRDefault="006E03BF" w:rsidP="00BD2E57">
      <w:pPr>
        <w:jc w:val="both"/>
        <w:rPr>
          <w:rFonts w:ascii="Tahoma" w:hAnsi="Tahoma" w:cs="Tahoma"/>
          <w:sz w:val="20"/>
          <w:szCs w:val="20"/>
        </w:rPr>
      </w:pPr>
      <w:hyperlink r:id="rId10" w:history="1">
        <w:r w:rsidRPr="00E40082">
          <w:rPr>
            <w:rStyle w:val="Kpr"/>
            <w:rFonts w:ascii="Tahoma" w:hAnsi="Tahoma" w:cs="Tahoma"/>
            <w:sz w:val="20"/>
            <w:szCs w:val="20"/>
          </w:rPr>
          <w:t>https://ms.hmb.gov.tr/uploads/2025/07/Turk-Parasi-Kiymetini-Koruma-Hakkinda-32-Sayili-Karara-Iliskin-Teblig-d2e065a8155e81ed.pdf</w:t>
        </w:r>
      </w:hyperlink>
    </w:p>
    <w:p w14:paraId="03FA5842" w14:textId="7D561A60" w:rsidR="007809E4" w:rsidRPr="00E40082" w:rsidRDefault="007809E4" w:rsidP="00BD2E57">
      <w:pPr>
        <w:jc w:val="both"/>
        <w:rPr>
          <w:rFonts w:ascii="Tahoma" w:hAnsi="Tahoma" w:cs="Tahoma"/>
          <w:b/>
          <w:bCs/>
          <w:sz w:val="20"/>
          <w:szCs w:val="20"/>
          <w:u w:val="single"/>
        </w:rPr>
      </w:pPr>
      <w:r w:rsidRPr="00E40082">
        <w:rPr>
          <w:rFonts w:ascii="Tahoma" w:hAnsi="Tahoma" w:cs="Tahoma"/>
          <w:sz w:val="20"/>
          <w:szCs w:val="20"/>
        </w:rPr>
        <w:lastRenderedPageBreak/>
        <w:t>8.</w:t>
      </w:r>
      <w:r w:rsidR="00C6526B" w:rsidRPr="00E40082">
        <w:rPr>
          <w:rFonts w:ascii="Tahoma" w:hAnsi="Tahoma" w:cs="Tahoma"/>
          <w:sz w:val="20"/>
          <w:szCs w:val="20"/>
        </w:rPr>
        <w:t>m</w:t>
      </w:r>
      <w:r w:rsidRPr="00E40082">
        <w:rPr>
          <w:rFonts w:ascii="Tahoma" w:hAnsi="Tahoma" w:cs="Tahoma"/>
          <w:sz w:val="20"/>
          <w:szCs w:val="20"/>
        </w:rPr>
        <w:t xml:space="preserve">addenin 28. </w:t>
      </w:r>
      <w:r w:rsidR="00F30C1B" w:rsidRPr="00E40082">
        <w:rPr>
          <w:rFonts w:ascii="Tahoma" w:hAnsi="Tahoma" w:cs="Tahoma"/>
          <w:sz w:val="20"/>
          <w:szCs w:val="20"/>
        </w:rPr>
        <w:t>ve 29.</w:t>
      </w:r>
      <w:r w:rsidRPr="00E40082">
        <w:rPr>
          <w:rFonts w:ascii="Tahoma" w:hAnsi="Tahoma" w:cs="Tahoma"/>
          <w:sz w:val="20"/>
          <w:szCs w:val="20"/>
        </w:rPr>
        <w:t xml:space="preserve"> </w:t>
      </w:r>
      <w:r w:rsidR="00F30C1B" w:rsidRPr="00E40082">
        <w:rPr>
          <w:rFonts w:ascii="Tahoma" w:hAnsi="Tahoma" w:cs="Tahoma"/>
          <w:sz w:val="20"/>
          <w:szCs w:val="20"/>
        </w:rPr>
        <w:t>fıkralarında; bu</w:t>
      </w:r>
      <w:r w:rsidRPr="00E40082">
        <w:rPr>
          <w:rFonts w:ascii="Tahoma" w:hAnsi="Tahoma" w:cs="Tahoma"/>
          <w:sz w:val="20"/>
          <w:szCs w:val="20"/>
        </w:rPr>
        <w:t xml:space="preserve"> </w:t>
      </w:r>
      <w:r w:rsidR="00C6526B" w:rsidRPr="00E40082">
        <w:rPr>
          <w:rFonts w:ascii="Tahoma" w:hAnsi="Tahoma" w:cs="Tahoma"/>
          <w:sz w:val="20"/>
          <w:szCs w:val="20"/>
        </w:rPr>
        <w:t>m</w:t>
      </w:r>
      <w:r w:rsidRPr="00E40082">
        <w:rPr>
          <w:rFonts w:ascii="Tahoma" w:hAnsi="Tahoma" w:cs="Tahoma"/>
          <w:sz w:val="20"/>
          <w:szCs w:val="20"/>
        </w:rPr>
        <w:t xml:space="preserve">addedeki düzenlemelere aykırı şekilde döviz cinsinden belirlenen sözleşme bedellerinin Türk </w:t>
      </w:r>
      <w:proofErr w:type="gramStart"/>
      <w:r w:rsidRPr="00E40082">
        <w:rPr>
          <w:rFonts w:ascii="Tahoma" w:hAnsi="Tahoma" w:cs="Tahoma"/>
          <w:sz w:val="20"/>
          <w:szCs w:val="20"/>
        </w:rPr>
        <w:t>Lirası</w:t>
      </w:r>
      <w:proofErr w:type="gramEnd"/>
      <w:r w:rsidRPr="00E40082">
        <w:rPr>
          <w:rFonts w:ascii="Tahoma" w:hAnsi="Tahoma" w:cs="Tahoma"/>
          <w:sz w:val="20"/>
          <w:szCs w:val="20"/>
        </w:rPr>
        <w:t xml:space="preserve"> olarak nasıl tespit edileceği </w:t>
      </w:r>
      <w:r w:rsidR="00C6526B" w:rsidRPr="00E40082">
        <w:rPr>
          <w:rFonts w:ascii="Tahoma" w:hAnsi="Tahoma" w:cs="Tahoma"/>
          <w:sz w:val="20"/>
          <w:szCs w:val="20"/>
        </w:rPr>
        <w:t xml:space="preserve">hususları </w:t>
      </w:r>
      <w:r w:rsidR="00E5735B" w:rsidRPr="00E40082">
        <w:rPr>
          <w:rFonts w:ascii="Tahoma" w:hAnsi="Tahoma" w:cs="Tahoma"/>
          <w:sz w:val="20"/>
          <w:szCs w:val="20"/>
        </w:rPr>
        <w:t>yer almaktadır</w:t>
      </w:r>
      <w:r w:rsidR="00C6526B" w:rsidRPr="00E40082">
        <w:rPr>
          <w:rFonts w:ascii="Tahoma" w:hAnsi="Tahoma" w:cs="Tahoma"/>
          <w:sz w:val="20"/>
          <w:szCs w:val="20"/>
        </w:rPr>
        <w:t>.</w:t>
      </w:r>
    </w:p>
    <w:p w14:paraId="0EF07F64" w14:textId="77813AED" w:rsidR="008718BC" w:rsidRPr="00E40082" w:rsidRDefault="008718BC" w:rsidP="00BD2E57">
      <w:pPr>
        <w:jc w:val="both"/>
        <w:rPr>
          <w:rFonts w:ascii="Tahoma" w:hAnsi="Tahoma" w:cs="Tahoma"/>
          <w:b/>
          <w:bCs/>
          <w:sz w:val="20"/>
          <w:szCs w:val="20"/>
          <w:u w:val="single"/>
        </w:rPr>
      </w:pPr>
      <w:r w:rsidRPr="00E40082">
        <w:rPr>
          <w:rFonts w:ascii="Tahoma" w:hAnsi="Tahoma" w:cs="Tahoma"/>
          <w:b/>
          <w:bCs/>
          <w:sz w:val="20"/>
          <w:szCs w:val="20"/>
          <w:u w:val="single"/>
        </w:rPr>
        <w:t>1.</w:t>
      </w:r>
      <w:r w:rsidR="00A9367D" w:rsidRPr="00E40082">
        <w:rPr>
          <w:rFonts w:ascii="Tahoma" w:hAnsi="Tahoma" w:cs="Tahoma"/>
          <w:b/>
          <w:bCs/>
          <w:sz w:val="20"/>
          <w:szCs w:val="20"/>
          <w:u w:val="single"/>
        </w:rPr>
        <w:t>4</w:t>
      </w:r>
      <w:r w:rsidRPr="00E40082">
        <w:rPr>
          <w:rFonts w:ascii="Tahoma" w:hAnsi="Tahoma" w:cs="Tahoma"/>
          <w:b/>
          <w:bCs/>
          <w:sz w:val="20"/>
          <w:szCs w:val="20"/>
          <w:u w:val="single"/>
        </w:rPr>
        <w:t>.Sermaye Hareketleri Genelgesi:</w:t>
      </w:r>
    </w:p>
    <w:p w14:paraId="59DC9403" w14:textId="37B2E172" w:rsidR="008718BC" w:rsidRPr="00E40082" w:rsidRDefault="00E5735B" w:rsidP="00BD2E57">
      <w:pPr>
        <w:jc w:val="both"/>
        <w:rPr>
          <w:rFonts w:ascii="Tahoma" w:hAnsi="Tahoma" w:cs="Tahoma"/>
          <w:sz w:val="20"/>
          <w:szCs w:val="20"/>
        </w:rPr>
      </w:pPr>
      <w:r w:rsidRPr="00E40082">
        <w:rPr>
          <w:rFonts w:ascii="Tahoma" w:hAnsi="Tahoma" w:cs="Tahoma"/>
          <w:sz w:val="20"/>
          <w:szCs w:val="20"/>
        </w:rPr>
        <w:t>T.C. Merkez</w:t>
      </w:r>
      <w:r w:rsidR="008718BC" w:rsidRPr="00E40082">
        <w:rPr>
          <w:rFonts w:ascii="Tahoma" w:hAnsi="Tahoma" w:cs="Tahoma"/>
          <w:sz w:val="20"/>
          <w:szCs w:val="20"/>
        </w:rPr>
        <w:t xml:space="preserve"> Bankasının Sermaye Hareketleri </w:t>
      </w:r>
      <w:r w:rsidR="00F30C1B" w:rsidRPr="00E40082">
        <w:rPr>
          <w:rFonts w:ascii="Tahoma" w:hAnsi="Tahoma" w:cs="Tahoma"/>
          <w:sz w:val="20"/>
          <w:szCs w:val="20"/>
        </w:rPr>
        <w:t>Genelgesi, Türk</w:t>
      </w:r>
      <w:r w:rsidR="008718BC" w:rsidRPr="00E40082">
        <w:rPr>
          <w:rFonts w:ascii="Tahoma" w:hAnsi="Tahoma" w:cs="Tahoma"/>
          <w:sz w:val="20"/>
          <w:szCs w:val="20"/>
        </w:rPr>
        <w:t xml:space="preserve"> Parasının Kıymetini Koruma Hakkında 32 Sayılı Karar </w:t>
      </w:r>
      <w:r w:rsidR="00F30C1B" w:rsidRPr="00E40082">
        <w:rPr>
          <w:rFonts w:ascii="Tahoma" w:hAnsi="Tahoma" w:cs="Tahoma"/>
          <w:sz w:val="20"/>
          <w:szCs w:val="20"/>
        </w:rPr>
        <w:t>ve 32</w:t>
      </w:r>
      <w:r w:rsidR="008718BC" w:rsidRPr="00E40082">
        <w:rPr>
          <w:rFonts w:ascii="Tahoma" w:hAnsi="Tahoma" w:cs="Tahoma"/>
          <w:sz w:val="20"/>
          <w:szCs w:val="20"/>
        </w:rPr>
        <w:t>/34 sayılı Tebliğe dayanılarak yayımlanmıştır.</w:t>
      </w:r>
    </w:p>
    <w:p w14:paraId="6DAF9987" w14:textId="49DF3717" w:rsidR="008718BC" w:rsidRPr="00E40082" w:rsidRDefault="008718BC" w:rsidP="00BD2E57">
      <w:pPr>
        <w:jc w:val="both"/>
        <w:rPr>
          <w:rFonts w:ascii="Tahoma" w:hAnsi="Tahoma" w:cs="Tahoma"/>
          <w:sz w:val="20"/>
          <w:szCs w:val="20"/>
        </w:rPr>
      </w:pPr>
      <w:hyperlink r:id="rId11" w:history="1">
        <w:r w:rsidRPr="00E40082">
          <w:rPr>
            <w:rStyle w:val="Kpr"/>
            <w:rFonts w:ascii="Tahoma" w:hAnsi="Tahoma" w:cs="Tahoma"/>
            <w:sz w:val="20"/>
            <w:szCs w:val="20"/>
          </w:rPr>
          <w:t>https://www.tcmb.gov.tr/wps/wcm/connect/d58bd2eb-b966-4765-a0cc-626c507449d8/Sermaye+Hareketleri+Genelgesi.pdf?MOD=AJPERES&amp;CACHEID=ROOTWORKSPACE-d58bd2eb-b966-4765-a0cc-626c507449d8-pS6N13z</w:t>
        </w:r>
      </w:hyperlink>
    </w:p>
    <w:p w14:paraId="30534184" w14:textId="6A6519F8" w:rsidR="008718BC" w:rsidRPr="00E40082" w:rsidRDefault="008718BC" w:rsidP="00BD2E57">
      <w:pPr>
        <w:jc w:val="both"/>
        <w:rPr>
          <w:rFonts w:ascii="Tahoma" w:hAnsi="Tahoma" w:cs="Tahoma"/>
          <w:sz w:val="20"/>
          <w:szCs w:val="20"/>
        </w:rPr>
      </w:pPr>
      <w:r w:rsidRPr="00E40082">
        <w:rPr>
          <w:rFonts w:ascii="Tahoma" w:hAnsi="Tahoma" w:cs="Tahoma"/>
          <w:sz w:val="20"/>
          <w:szCs w:val="20"/>
        </w:rPr>
        <w:t xml:space="preserve">Genelgenin </w:t>
      </w:r>
      <w:r w:rsidR="00B103A7" w:rsidRPr="00E40082">
        <w:rPr>
          <w:rFonts w:ascii="Tahoma" w:hAnsi="Tahoma" w:cs="Tahoma"/>
          <w:sz w:val="20"/>
          <w:szCs w:val="20"/>
        </w:rPr>
        <w:t xml:space="preserve">yurtiçinden kredi alınması bölümündeki </w:t>
      </w:r>
      <w:r w:rsidRPr="00E40082">
        <w:rPr>
          <w:rFonts w:ascii="Tahoma" w:hAnsi="Tahoma" w:cs="Tahoma"/>
          <w:sz w:val="20"/>
          <w:szCs w:val="20"/>
        </w:rPr>
        <w:t>38.</w:t>
      </w:r>
      <w:r w:rsidR="00C6526B" w:rsidRPr="00E40082">
        <w:rPr>
          <w:rFonts w:ascii="Tahoma" w:hAnsi="Tahoma" w:cs="Tahoma"/>
          <w:sz w:val="20"/>
          <w:szCs w:val="20"/>
        </w:rPr>
        <w:t>m</w:t>
      </w:r>
      <w:r w:rsidRPr="00E40082">
        <w:rPr>
          <w:rFonts w:ascii="Tahoma" w:hAnsi="Tahoma" w:cs="Tahoma"/>
          <w:sz w:val="20"/>
          <w:szCs w:val="20"/>
        </w:rPr>
        <w:t>adde</w:t>
      </w:r>
      <w:r w:rsidR="00B103A7" w:rsidRPr="00E40082">
        <w:rPr>
          <w:rFonts w:ascii="Tahoma" w:hAnsi="Tahoma" w:cs="Tahoma"/>
          <w:sz w:val="20"/>
          <w:szCs w:val="20"/>
        </w:rPr>
        <w:t>n</w:t>
      </w:r>
      <w:r w:rsidRPr="00E40082">
        <w:rPr>
          <w:rFonts w:ascii="Tahoma" w:hAnsi="Tahoma" w:cs="Tahoma"/>
          <w:sz w:val="20"/>
          <w:szCs w:val="20"/>
        </w:rPr>
        <w:t>in 2.</w:t>
      </w:r>
      <w:r w:rsidR="00C6526B" w:rsidRPr="00E40082">
        <w:rPr>
          <w:rFonts w:ascii="Tahoma" w:hAnsi="Tahoma" w:cs="Tahoma"/>
          <w:sz w:val="20"/>
          <w:szCs w:val="20"/>
        </w:rPr>
        <w:t>f</w:t>
      </w:r>
      <w:r w:rsidRPr="00E40082">
        <w:rPr>
          <w:rFonts w:ascii="Tahoma" w:hAnsi="Tahoma" w:cs="Tahoma"/>
          <w:sz w:val="20"/>
          <w:szCs w:val="20"/>
        </w:rPr>
        <w:t>ıkrası aşağıdaki şekildedir:</w:t>
      </w:r>
    </w:p>
    <w:p w14:paraId="6CD2F04B" w14:textId="0AD8F860" w:rsidR="00A9367D" w:rsidRPr="00E40082" w:rsidRDefault="008718BC" w:rsidP="00BD2E57">
      <w:pPr>
        <w:spacing w:after="0"/>
        <w:jc w:val="both"/>
        <w:rPr>
          <w:rFonts w:ascii="Tahoma" w:hAnsi="Tahoma" w:cs="Tahoma"/>
          <w:i/>
          <w:iCs/>
          <w:sz w:val="20"/>
          <w:szCs w:val="20"/>
        </w:rPr>
      </w:pPr>
      <w:r w:rsidRPr="00E40082">
        <w:rPr>
          <w:rFonts w:ascii="Tahoma" w:hAnsi="Tahoma" w:cs="Tahoma"/>
          <w:i/>
          <w:iCs/>
          <w:sz w:val="20"/>
          <w:szCs w:val="20"/>
        </w:rPr>
        <w:t>(2) Kambiyo mevzuatı uyarınca Türkiye’de yerleşik kişiler ancak 32 sayılı Karar’da yer</w:t>
      </w:r>
      <w:r w:rsidR="00F30C1B">
        <w:rPr>
          <w:rFonts w:ascii="Tahoma" w:hAnsi="Tahoma" w:cs="Tahoma"/>
          <w:i/>
          <w:iCs/>
          <w:sz w:val="20"/>
          <w:szCs w:val="20"/>
        </w:rPr>
        <w:t xml:space="preserve"> </w:t>
      </w:r>
      <w:r w:rsidRPr="00E40082">
        <w:rPr>
          <w:rFonts w:ascii="Tahoma" w:hAnsi="Tahoma" w:cs="Tahoma"/>
          <w:i/>
          <w:iCs/>
          <w:sz w:val="20"/>
          <w:szCs w:val="20"/>
        </w:rPr>
        <w:t xml:space="preserve">alan şekliyle bankalar ve finansal kuruluşlardan döviz kredisi temin edebilecekleri için </w:t>
      </w:r>
      <w:r w:rsidRPr="00E40082">
        <w:rPr>
          <w:rFonts w:ascii="Tahoma" w:hAnsi="Tahoma" w:cs="Tahoma"/>
          <w:b/>
          <w:bCs/>
          <w:i/>
          <w:iCs/>
          <w:sz w:val="20"/>
          <w:szCs w:val="20"/>
          <w:u w:val="single"/>
        </w:rPr>
        <w:t>bir</w:t>
      </w:r>
      <w:r w:rsidR="00B103A7" w:rsidRPr="00E40082">
        <w:rPr>
          <w:rFonts w:ascii="Tahoma" w:hAnsi="Tahoma" w:cs="Tahoma"/>
          <w:b/>
          <w:bCs/>
          <w:i/>
          <w:iCs/>
          <w:sz w:val="20"/>
          <w:szCs w:val="20"/>
          <w:u w:val="single"/>
        </w:rPr>
        <w:t xml:space="preserve"> </w:t>
      </w:r>
      <w:r w:rsidRPr="00E40082">
        <w:rPr>
          <w:rFonts w:ascii="Tahoma" w:hAnsi="Tahoma" w:cs="Tahoma"/>
          <w:b/>
          <w:bCs/>
          <w:i/>
          <w:iCs/>
          <w:sz w:val="20"/>
          <w:szCs w:val="20"/>
          <w:u w:val="single"/>
        </w:rPr>
        <w:t>firmanın başka bir firmaya döviz kredisi kullandırması mümkün bulunmamaktadır.</w:t>
      </w:r>
      <w:r w:rsidRPr="00E40082">
        <w:rPr>
          <w:rFonts w:ascii="Tahoma" w:hAnsi="Tahoma" w:cs="Tahoma"/>
          <w:i/>
          <w:iCs/>
          <w:sz w:val="20"/>
          <w:szCs w:val="20"/>
        </w:rPr>
        <w:t xml:space="preserve"> Ancak,</w:t>
      </w:r>
      <w:r w:rsidR="00B103A7" w:rsidRPr="00E40082">
        <w:rPr>
          <w:rFonts w:ascii="Tahoma" w:hAnsi="Tahoma" w:cs="Tahoma"/>
          <w:i/>
          <w:iCs/>
          <w:sz w:val="20"/>
          <w:szCs w:val="20"/>
        </w:rPr>
        <w:t xml:space="preserve"> </w:t>
      </w:r>
      <w:r w:rsidRPr="00E40082">
        <w:rPr>
          <w:rFonts w:ascii="Tahoma" w:hAnsi="Tahoma" w:cs="Tahoma"/>
          <w:i/>
          <w:iCs/>
          <w:sz w:val="20"/>
          <w:szCs w:val="20"/>
        </w:rPr>
        <w:t>işlemin fon fazlası olan firmanın fon açığı olan aynı holding bünyesindeki firmaya veya grup</w:t>
      </w:r>
      <w:r w:rsidR="00B103A7" w:rsidRPr="00E40082">
        <w:rPr>
          <w:rFonts w:ascii="Tahoma" w:hAnsi="Tahoma" w:cs="Tahoma"/>
          <w:i/>
          <w:iCs/>
          <w:sz w:val="20"/>
          <w:szCs w:val="20"/>
        </w:rPr>
        <w:t xml:space="preserve"> </w:t>
      </w:r>
      <w:r w:rsidRPr="00E40082">
        <w:rPr>
          <w:rFonts w:ascii="Tahoma" w:hAnsi="Tahoma" w:cs="Tahoma"/>
          <w:i/>
          <w:iCs/>
          <w:sz w:val="20"/>
          <w:szCs w:val="20"/>
        </w:rPr>
        <w:t>firmasına ilgili tutarın döviz cinsinden karşılığını yatırabilmesi amacıyla gerçekleştirilmesi</w:t>
      </w:r>
      <w:r w:rsidR="00B103A7" w:rsidRPr="00E40082">
        <w:rPr>
          <w:rFonts w:ascii="Tahoma" w:hAnsi="Tahoma" w:cs="Tahoma"/>
          <w:i/>
          <w:iCs/>
          <w:sz w:val="20"/>
          <w:szCs w:val="20"/>
        </w:rPr>
        <w:t xml:space="preserve"> </w:t>
      </w:r>
      <w:r w:rsidRPr="00E40082">
        <w:rPr>
          <w:rFonts w:ascii="Tahoma" w:hAnsi="Tahoma" w:cs="Tahoma"/>
          <w:i/>
          <w:iCs/>
          <w:sz w:val="20"/>
          <w:szCs w:val="20"/>
        </w:rPr>
        <w:t xml:space="preserve">halinde, borçlandırmanın ve takibinin Türk </w:t>
      </w:r>
      <w:proofErr w:type="gramStart"/>
      <w:r w:rsidRPr="00E40082">
        <w:rPr>
          <w:rFonts w:ascii="Tahoma" w:hAnsi="Tahoma" w:cs="Tahoma"/>
          <w:i/>
          <w:iCs/>
          <w:sz w:val="20"/>
          <w:szCs w:val="20"/>
        </w:rPr>
        <w:t>Lirası</w:t>
      </w:r>
      <w:proofErr w:type="gramEnd"/>
      <w:r w:rsidRPr="00E40082">
        <w:rPr>
          <w:rFonts w:ascii="Tahoma" w:hAnsi="Tahoma" w:cs="Tahoma"/>
          <w:i/>
          <w:iCs/>
          <w:sz w:val="20"/>
          <w:szCs w:val="20"/>
        </w:rPr>
        <w:t xml:space="preserve"> cinsinden yapılması kaydıyla, borçlandırma</w:t>
      </w:r>
      <w:r w:rsidR="00B103A7" w:rsidRPr="00E40082">
        <w:rPr>
          <w:rFonts w:ascii="Tahoma" w:hAnsi="Tahoma" w:cs="Tahoma"/>
          <w:i/>
          <w:iCs/>
          <w:sz w:val="20"/>
          <w:szCs w:val="20"/>
        </w:rPr>
        <w:t xml:space="preserve"> </w:t>
      </w:r>
      <w:r w:rsidRPr="00E40082">
        <w:rPr>
          <w:rFonts w:ascii="Tahoma" w:hAnsi="Tahoma" w:cs="Tahoma"/>
          <w:i/>
          <w:iCs/>
          <w:sz w:val="20"/>
          <w:szCs w:val="20"/>
        </w:rPr>
        <w:t>işlemlerine ilişkin bedellerin döviz cinsinden karşılığının firmanın yazılı beyanına istinaden</w:t>
      </w:r>
      <w:r w:rsidR="00B103A7" w:rsidRPr="00E40082">
        <w:rPr>
          <w:rFonts w:ascii="Tahoma" w:hAnsi="Tahoma" w:cs="Tahoma"/>
          <w:i/>
          <w:iCs/>
          <w:sz w:val="20"/>
          <w:szCs w:val="20"/>
        </w:rPr>
        <w:t xml:space="preserve"> </w:t>
      </w:r>
      <w:r w:rsidRPr="00E40082">
        <w:rPr>
          <w:rFonts w:ascii="Tahoma" w:hAnsi="Tahoma" w:cs="Tahoma"/>
          <w:i/>
          <w:iCs/>
          <w:sz w:val="20"/>
          <w:szCs w:val="20"/>
        </w:rPr>
        <w:t>yurt içindeki ilgili hesaplara transfer edilmesi mümkündür. Ancak, yeni bir döviz kredisi</w:t>
      </w:r>
      <w:r w:rsidR="00B103A7" w:rsidRPr="00E40082">
        <w:rPr>
          <w:rFonts w:ascii="Tahoma" w:hAnsi="Tahoma" w:cs="Tahoma"/>
          <w:i/>
          <w:iCs/>
          <w:sz w:val="20"/>
          <w:szCs w:val="20"/>
        </w:rPr>
        <w:t xml:space="preserve"> </w:t>
      </w:r>
      <w:r w:rsidRPr="00E40082">
        <w:rPr>
          <w:rFonts w:ascii="Tahoma" w:hAnsi="Tahoma" w:cs="Tahoma"/>
          <w:i/>
          <w:iCs/>
          <w:sz w:val="20"/>
          <w:szCs w:val="20"/>
        </w:rPr>
        <w:t>kullanmak suretiyle kredi kullanan firmanın aynı holding bünyesinde veya grup içinde olan</w:t>
      </w:r>
      <w:r w:rsidR="00B103A7" w:rsidRPr="00E40082">
        <w:rPr>
          <w:rFonts w:ascii="Tahoma" w:hAnsi="Tahoma" w:cs="Tahoma"/>
          <w:i/>
          <w:iCs/>
          <w:sz w:val="20"/>
          <w:szCs w:val="20"/>
        </w:rPr>
        <w:t xml:space="preserve"> </w:t>
      </w:r>
      <w:r w:rsidRPr="00E40082">
        <w:rPr>
          <w:rFonts w:ascii="Tahoma" w:hAnsi="Tahoma" w:cs="Tahoma"/>
          <w:i/>
          <w:iCs/>
          <w:sz w:val="20"/>
          <w:szCs w:val="20"/>
        </w:rPr>
        <w:t>başka bir firmaya söz konusu krediyi aktarması mümkün bulunmamaktadır. Bankalar veya</w:t>
      </w:r>
      <w:r w:rsidR="00B103A7" w:rsidRPr="00E40082">
        <w:rPr>
          <w:rFonts w:ascii="Tahoma" w:hAnsi="Tahoma" w:cs="Tahoma"/>
          <w:i/>
          <w:iCs/>
          <w:sz w:val="20"/>
          <w:szCs w:val="20"/>
        </w:rPr>
        <w:t xml:space="preserve"> </w:t>
      </w:r>
      <w:r w:rsidRPr="00E40082">
        <w:rPr>
          <w:rFonts w:ascii="Tahoma" w:hAnsi="Tahoma" w:cs="Tahoma"/>
          <w:i/>
          <w:iCs/>
          <w:sz w:val="20"/>
          <w:szCs w:val="20"/>
        </w:rPr>
        <w:t>finansal kuruluşlar köprü kredi ve benzeri uygulamalarla bu şekilde hareket ettiğini tespit</w:t>
      </w:r>
      <w:r w:rsidR="00B103A7" w:rsidRPr="00E40082">
        <w:rPr>
          <w:rFonts w:ascii="Tahoma" w:hAnsi="Tahoma" w:cs="Tahoma"/>
          <w:i/>
          <w:iCs/>
          <w:sz w:val="20"/>
          <w:szCs w:val="20"/>
        </w:rPr>
        <w:t xml:space="preserve"> </w:t>
      </w:r>
      <w:r w:rsidRPr="00E40082">
        <w:rPr>
          <w:rFonts w:ascii="Tahoma" w:hAnsi="Tahoma" w:cs="Tahoma"/>
          <w:i/>
          <w:iCs/>
          <w:sz w:val="20"/>
          <w:szCs w:val="20"/>
        </w:rPr>
        <w:t>ettikleri şirketleri Bakanlığa bildirir.</w:t>
      </w:r>
      <w:r w:rsidR="00B103A7" w:rsidRPr="00E40082">
        <w:rPr>
          <w:rFonts w:ascii="Tahoma" w:hAnsi="Tahoma" w:cs="Tahoma"/>
          <w:i/>
          <w:iCs/>
          <w:sz w:val="20"/>
          <w:szCs w:val="20"/>
        </w:rPr>
        <w:t>”</w:t>
      </w:r>
    </w:p>
    <w:p w14:paraId="237E41DF" w14:textId="77777777" w:rsidR="003271D8" w:rsidRPr="00E40082" w:rsidRDefault="003271D8" w:rsidP="00BD2E57">
      <w:pPr>
        <w:spacing w:after="0"/>
        <w:jc w:val="both"/>
        <w:rPr>
          <w:rFonts w:ascii="Tahoma" w:hAnsi="Tahoma" w:cs="Tahoma"/>
          <w:b/>
          <w:bCs/>
          <w:sz w:val="20"/>
          <w:szCs w:val="20"/>
          <w:u w:val="single"/>
        </w:rPr>
      </w:pPr>
    </w:p>
    <w:p w14:paraId="48A1F2A9" w14:textId="5C450C25" w:rsidR="000C23D5" w:rsidRPr="00E40082" w:rsidRDefault="00F30C1B" w:rsidP="00BD2E57">
      <w:pPr>
        <w:spacing w:after="0"/>
        <w:jc w:val="both"/>
        <w:rPr>
          <w:rFonts w:ascii="Tahoma" w:hAnsi="Tahoma" w:cs="Tahoma"/>
          <w:sz w:val="20"/>
          <w:szCs w:val="20"/>
        </w:rPr>
      </w:pPr>
      <w:r w:rsidRPr="00E40082">
        <w:rPr>
          <w:rFonts w:ascii="Tahoma" w:hAnsi="Tahoma" w:cs="Tahoma"/>
          <w:sz w:val="20"/>
          <w:szCs w:val="20"/>
        </w:rPr>
        <w:t>Genelgede; kambiyo</w:t>
      </w:r>
      <w:r w:rsidR="00673E2D" w:rsidRPr="00E40082">
        <w:rPr>
          <w:rFonts w:ascii="Tahoma" w:hAnsi="Tahoma" w:cs="Tahoma"/>
          <w:sz w:val="20"/>
          <w:szCs w:val="20"/>
        </w:rPr>
        <w:t xml:space="preserve"> mevzuatı uyarınca bankalar ve finansal kurumlar dışında kalanların dövizli borç veremeyeceği vurgulanmıştır. Bununla </w:t>
      </w:r>
      <w:r w:rsidRPr="00E40082">
        <w:rPr>
          <w:rFonts w:ascii="Tahoma" w:hAnsi="Tahoma" w:cs="Tahoma"/>
          <w:sz w:val="20"/>
          <w:szCs w:val="20"/>
        </w:rPr>
        <w:t>birlikte; aynı</w:t>
      </w:r>
      <w:r w:rsidR="003271D8" w:rsidRPr="00E40082">
        <w:rPr>
          <w:rFonts w:ascii="Tahoma" w:hAnsi="Tahoma" w:cs="Tahoma"/>
          <w:sz w:val="20"/>
          <w:szCs w:val="20"/>
        </w:rPr>
        <w:t xml:space="preserve"> </w:t>
      </w:r>
      <w:r w:rsidRPr="00E40082">
        <w:rPr>
          <w:rFonts w:ascii="Tahoma" w:hAnsi="Tahoma" w:cs="Tahoma"/>
          <w:sz w:val="20"/>
          <w:szCs w:val="20"/>
        </w:rPr>
        <w:t>holding ya da</w:t>
      </w:r>
      <w:r w:rsidR="003271D8" w:rsidRPr="00E40082">
        <w:rPr>
          <w:rFonts w:ascii="Tahoma" w:hAnsi="Tahoma" w:cs="Tahoma"/>
          <w:sz w:val="20"/>
          <w:szCs w:val="20"/>
        </w:rPr>
        <w:t xml:space="preserve"> gruba bağlı şirketlerden fon fazlası olanlar</w:t>
      </w:r>
      <w:r w:rsidR="00C717CD" w:rsidRPr="00E40082">
        <w:rPr>
          <w:rFonts w:ascii="Tahoma" w:hAnsi="Tahoma" w:cs="Tahoma"/>
          <w:sz w:val="20"/>
          <w:szCs w:val="20"/>
        </w:rPr>
        <w:t>ca</w:t>
      </w:r>
      <w:r w:rsidR="003271D8" w:rsidRPr="00E40082">
        <w:rPr>
          <w:rFonts w:ascii="Tahoma" w:hAnsi="Tahoma" w:cs="Tahoma"/>
          <w:sz w:val="20"/>
          <w:szCs w:val="20"/>
        </w:rPr>
        <w:t xml:space="preserve"> fon açığı olan firmaya borç döviz olarak gönderilebilecek ancak sonrasında artık borç TL borç haline dönüşecek kur farkı oluşmayacaktır. Köprü kredi </w:t>
      </w:r>
      <w:r w:rsidR="00E5735B" w:rsidRPr="00E40082">
        <w:rPr>
          <w:rFonts w:ascii="Tahoma" w:hAnsi="Tahoma" w:cs="Tahoma"/>
          <w:sz w:val="20"/>
          <w:szCs w:val="20"/>
        </w:rPr>
        <w:t>vs.</w:t>
      </w:r>
      <w:r w:rsidR="003271D8" w:rsidRPr="00E40082">
        <w:rPr>
          <w:rFonts w:ascii="Tahoma" w:hAnsi="Tahoma" w:cs="Tahoma"/>
          <w:sz w:val="20"/>
          <w:szCs w:val="20"/>
        </w:rPr>
        <w:t xml:space="preserve"> </w:t>
      </w:r>
      <w:r w:rsidR="00C6526B" w:rsidRPr="00E40082">
        <w:rPr>
          <w:rFonts w:ascii="Tahoma" w:hAnsi="Tahoma" w:cs="Tahoma"/>
          <w:sz w:val="20"/>
          <w:szCs w:val="20"/>
        </w:rPr>
        <w:t>yollarla</w:t>
      </w:r>
      <w:r w:rsidR="003271D8" w:rsidRPr="00E40082">
        <w:rPr>
          <w:rFonts w:ascii="Tahoma" w:hAnsi="Tahoma" w:cs="Tahoma"/>
          <w:sz w:val="20"/>
          <w:szCs w:val="20"/>
        </w:rPr>
        <w:t xml:space="preserve"> dövizli borç verilmesi ise mümkün değildir.</w:t>
      </w:r>
    </w:p>
    <w:p w14:paraId="56608BA9" w14:textId="77777777" w:rsidR="000C23D5" w:rsidRPr="00E40082" w:rsidRDefault="000C23D5" w:rsidP="00BD2E57">
      <w:pPr>
        <w:spacing w:after="0"/>
        <w:jc w:val="both"/>
        <w:rPr>
          <w:rFonts w:ascii="Tahoma" w:hAnsi="Tahoma" w:cs="Tahoma"/>
          <w:sz w:val="20"/>
          <w:szCs w:val="20"/>
        </w:rPr>
      </w:pPr>
    </w:p>
    <w:p w14:paraId="14EDF422" w14:textId="706A4754" w:rsidR="000C23D5" w:rsidRPr="00E40082" w:rsidRDefault="000C23D5" w:rsidP="00BD2E57">
      <w:pPr>
        <w:jc w:val="both"/>
        <w:rPr>
          <w:rFonts w:ascii="Tahoma" w:hAnsi="Tahoma" w:cs="Tahoma"/>
          <w:b/>
          <w:bCs/>
          <w:sz w:val="20"/>
          <w:szCs w:val="20"/>
          <w:u w:val="single"/>
        </w:rPr>
      </w:pPr>
      <w:r w:rsidRPr="00E40082">
        <w:rPr>
          <w:rFonts w:ascii="Tahoma" w:hAnsi="Tahoma" w:cs="Tahoma"/>
          <w:b/>
          <w:bCs/>
          <w:sz w:val="20"/>
          <w:szCs w:val="20"/>
          <w:u w:val="single"/>
        </w:rPr>
        <w:t>2.KABAHATLER KANUNU:</w:t>
      </w:r>
    </w:p>
    <w:p w14:paraId="07BB8124" w14:textId="77777777" w:rsidR="000C23D5" w:rsidRPr="00E40082" w:rsidRDefault="000C23D5" w:rsidP="00BD2E57">
      <w:pPr>
        <w:jc w:val="both"/>
        <w:rPr>
          <w:rFonts w:ascii="Tahoma" w:hAnsi="Tahoma" w:cs="Tahoma"/>
          <w:sz w:val="20"/>
          <w:szCs w:val="20"/>
        </w:rPr>
      </w:pPr>
      <w:hyperlink r:id="rId12" w:history="1">
        <w:r w:rsidRPr="00E40082">
          <w:rPr>
            <w:rStyle w:val="Kpr"/>
            <w:rFonts w:ascii="Tahoma" w:hAnsi="Tahoma" w:cs="Tahoma"/>
            <w:sz w:val="20"/>
            <w:szCs w:val="20"/>
          </w:rPr>
          <w:t>https://www.mevzuat.gov.tr/mevzuat?MevzuatNo=5326&amp;MevzuatTur=1&amp;MevzuatTertip=5</w:t>
        </w:r>
      </w:hyperlink>
    </w:p>
    <w:p w14:paraId="0750D770" w14:textId="52985B02" w:rsidR="00F501C9" w:rsidRPr="00E40082" w:rsidRDefault="00F501C9" w:rsidP="00BD2E57">
      <w:pPr>
        <w:spacing w:after="0" w:line="240" w:lineRule="exact"/>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 xml:space="preserve">Kabahatler Kanununu’nun </w:t>
      </w:r>
      <w:r w:rsidRPr="00E40082">
        <w:rPr>
          <w:rFonts w:ascii="Tahoma" w:eastAsia="Times New Roman" w:hAnsi="Tahoma" w:cs="Tahoma"/>
          <w:b/>
          <w:bCs/>
          <w:sz w:val="20"/>
          <w:szCs w:val="20"/>
          <w:u w:val="single"/>
          <w:lang w:eastAsia="tr-TR"/>
        </w:rPr>
        <w:t>toplum düzenini</w:t>
      </w:r>
      <w:r w:rsidRPr="00E40082">
        <w:rPr>
          <w:rFonts w:ascii="Tahoma" w:eastAsia="Times New Roman" w:hAnsi="Tahoma" w:cs="Tahoma"/>
          <w:sz w:val="20"/>
          <w:szCs w:val="20"/>
          <w:lang w:eastAsia="tr-TR"/>
        </w:rPr>
        <w:t xml:space="preserve">, genel ahlâkı, genel sağlığı, çevreyi ve ekonomik düzeni korumak amacıyla </w:t>
      </w:r>
      <w:r w:rsidR="00A27D45" w:rsidRPr="00E40082">
        <w:rPr>
          <w:rFonts w:ascii="Tahoma" w:eastAsia="Times New Roman" w:hAnsi="Tahoma" w:cs="Tahoma"/>
          <w:sz w:val="20"/>
          <w:szCs w:val="20"/>
          <w:lang w:eastAsia="tr-TR"/>
        </w:rPr>
        <w:t>getirildiği, kabahat</w:t>
      </w:r>
      <w:r w:rsidRPr="00E40082">
        <w:rPr>
          <w:rFonts w:ascii="Tahoma" w:eastAsia="Times New Roman" w:hAnsi="Tahoma" w:cs="Tahoma"/>
          <w:sz w:val="20"/>
          <w:szCs w:val="20"/>
          <w:lang w:eastAsia="tr-TR"/>
        </w:rPr>
        <w:t xml:space="preserve"> deyiminin; bu Kanunun, karşılığında idarî yaptırım uygulanmasını öngördüğü haksızlığı ifade ettiği </w:t>
      </w:r>
      <w:r w:rsidR="00C6526B" w:rsidRPr="00E40082">
        <w:rPr>
          <w:rFonts w:ascii="Tahoma" w:eastAsia="Times New Roman" w:hAnsi="Tahoma" w:cs="Tahoma"/>
          <w:sz w:val="20"/>
          <w:szCs w:val="20"/>
          <w:lang w:eastAsia="tr-TR"/>
        </w:rPr>
        <w:t>bu Kanunun 1. ve 2. Maddelerinde belirtilmiştir</w:t>
      </w:r>
      <w:r w:rsidRPr="00E40082">
        <w:rPr>
          <w:rFonts w:ascii="Tahoma" w:eastAsia="Times New Roman" w:hAnsi="Tahoma" w:cs="Tahoma"/>
          <w:sz w:val="20"/>
          <w:szCs w:val="20"/>
          <w:lang w:eastAsia="tr-TR"/>
        </w:rPr>
        <w:t>. Kabahatler Kanununa göre idari para cezası uygulanması gereken haller kambiyo mevzuatına aykırı işlemlerle sınırlı değildir. Öte yandan; Kabahatler Kanununda uygulanacak idari yaptırımlar idari para cezası</w:t>
      </w:r>
      <w:r w:rsidR="00BA7C98" w:rsidRPr="00E40082">
        <w:rPr>
          <w:rFonts w:ascii="Tahoma" w:eastAsia="Times New Roman" w:hAnsi="Tahoma" w:cs="Tahoma"/>
          <w:sz w:val="20"/>
          <w:szCs w:val="20"/>
          <w:lang w:eastAsia="tr-TR"/>
        </w:rPr>
        <w:t xml:space="preserve">ndan ibaret </w:t>
      </w:r>
      <w:r w:rsidRPr="00E40082">
        <w:rPr>
          <w:rFonts w:ascii="Tahoma" w:eastAsia="Times New Roman" w:hAnsi="Tahoma" w:cs="Tahoma"/>
          <w:sz w:val="20"/>
          <w:szCs w:val="20"/>
          <w:lang w:eastAsia="tr-TR"/>
        </w:rPr>
        <w:t>olmayıp, mülkiyetin kamuya geçirilmesi şeklinde</w:t>
      </w:r>
      <w:r w:rsidR="00C6526B" w:rsidRPr="00E40082">
        <w:rPr>
          <w:rFonts w:ascii="Tahoma" w:eastAsia="Times New Roman" w:hAnsi="Tahoma" w:cs="Tahoma"/>
          <w:sz w:val="20"/>
          <w:szCs w:val="20"/>
          <w:lang w:eastAsia="tr-TR"/>
        </w:rPr>
        <w:t>ki</w:t>
      </w:r>
      <w:r w:rsidRPr="00E40082">
        <w:rPr>
          <w:rFonts w:ascii="Tahoma" w:eastAsia="Times New Roman" w:hAnsi="Tahoma" w:cs="Tahoma"/>
          <w:sz w:val="20"/>
          <w:szCs w:val="20"/>
          <w:lang w:eastAsia="tr-TR"/>
        </w:rPr>
        <w:t xml:space="preserve"> idari tedbir de bu yaptırımlar arasındadır. Ancak; </w:t>
      </w:r>
      <w:r w:rsidR="00C717CD" w:rsidRPr="00E40082">
        <w:rPr>
          <w:rFonts w:ascii="Tahoma" w:eastAsia="Times New Roman" w:hAnsi="Tahoma" w:cs="Tahoma"/>
          <w:sz w:val="20"/>
          <w:szCs w:val="20"/>
          <w:lang w:eastAsia="tr-TR"/>
        </w:rPr>
        <w:t xml:space="preserve">yazımızın </w:t>
      </w:r>
      <w:r w:rsidRPr="00E40082">
        <w:rPr>
          <w:rFonts w:ascii="Tahoma" w:eastAsia="Times New Roman" w:hAnsi="Tahoma" w:cs="Tahoma"/>
          <w:sz w:val="20"/>
          <w:szCs w:val="20"/>
          <w:lang w:eastAsia="tr-TR"/>
        </w:rPr>
        <w:t>yukarıda</w:t>
      </w:r>
      <w:r w:rsidR="00C717CD" w:rsidRPr="00E40082">
        <w:rPr>
          <w:rFonts w:ascii="Tahoma" w:eastAsia="Times New Roman" w:hAnsi="Tahoma" w:cs="Tahoma"/>
          <w:sz w:val="20"/>
          <w:szCs w:val="20"/>
          <w:lang w:eastAsia="tr-TR"/>
        </w:rPr>
        <w:t xml:space="preserve">ki </w:t>
      </w:r>
      <w:r w:rsidR="00A27D45" w:rsidRPr="00E40082">
        <w:rPr>
          <w:rFonts w:ascii="Tahoma" w:eastAsia="Times New Roman" w:hAnsi="Tahoma" w:cs="Tahoma"/>
          <w:sz w:val="20"/>
          <w:szCs w:val="20"/>
          <w:lang w:eastAsia="tr-TR"/>
        </w:rPr>
        <w:t>bölümlerinde belirttiğimiz</w:t>
      </w:r>
      <w:r w:rsidRPr="00E40082">
        <w:rPr>
          <w:rFonts w:ascii="Tahoma" w:eastAsia="Times New Roman" w:hAnsi="Tahoma" w:cs="Tahoma"/>
          <w:sz w:val="20"/>
          <w:szCs w:val="20"/>
          <w:lang w:eastAsia="tr-TR"/>
        </w:rPr>
        <w:t xml:space="preserve"> </w:t>
      </w:r>
      <w:r w:rsidR="00A27D45" w:rsidRPr="00E40082">
        <w:rPr>
          <w:rFonts w:ascii="Tahoma" w:eastAsia="Times New Roman" w:hAnsi="Tahoma" w:cs="Tahoma"/>
          <w:sz w:val="20"/>
          <w:szCs w:val="20"/>
          <w:lang w:eastAsia="tr-TR"/>
        </w:rPr>
        <w:t>üzere, kambiyo</w:t>
      </w:r>
      <w:r w:rsidR="00C717CD" w:rsidRPr="00E40082">
        <w:rPr>
          <w:rFonts w:ascii="Tahoma" w:eastAsia="Times New Roman" w:hAnsi="Tahoma" w:cs="Tahoma"/>
          <w:sz w:val="20"/>
          <w:szCs w:val="20"/>
          <w:lang w:eastAsia="tr-TR"/>
        </w:rPr>
        <w:t xml:space="preserve"> mevzuatına aykırı şekilde </w:t>
      </w:r>
      <w:r w:rsidRPr="00E40082">
        <w:rPr>
          <w:rFonts w:ascii="Tahoma" w:eastAsia="Times New Roman" w:hAnsi="Tahoma" w:cs="Tahoma"/>
          <w:sz w:val="20"/>
          <w:szCs w:val="20"/>
          <w:lang w:eastAsia="tr-TR"/>
        </w:rPr>
        <w:t xml:space="preserve">dövizli borç para vermenin müeyyidesi </w:t>
      </w:r>
      <w:r w:rsidR="00BA7C98" w:rsidRPr="00E40082">
        <w:rPr>
          <w:rFonts w:ascii="Tahoma" w:eastAsia="Times New Roman" w:hAnsi="Tahoma" w:cs="Tahoma"/>
          <w:sz w:val="20"/>
          <w:szCs w:val="20"/>
          <w:lang w:eastAsia="tr-TR"/>
        </w:rPr>
        <w:t xml:space="preserve">sadece </w:t>
      </w:r>
      <w:r w:rsidRPr="00E40082">
        <w:rPr>
          <w:rFonts w:ascii="Tahoma" w:eastAsia="Times New Roman" w:hAnsi="Tahoma" w:cs="Tahoma"/>
          <w:sz w:val="20"/>
          <w:szCs w:val="20"/>
          <w:lang w:eastAsia="tr-TR"/>
        </w:rPr>
        <w:t>idari para cezası</w:t>
      </w:r>
      <w:r w:rsidR="00BA7C98" w:rsidRPr="00E40082">
        <w:rPr>
          <w:rFonts w:ascii="Tahoma" w:eastAsia="Times New Roman" w:hAnsi="Tahoma" w:cs="Tahoma"/>
          <w:sz w:val="20"/>
          <w:szCs w:val="20"/>
          <w:lang w:eastAsia="tr-TR"/>
        </w:rPr>
        <w:t>dır.</w:t>
      </w:r>
    </w:p>
    <w:p w14:paraId="43658A47" w14:textId="77777777" w:rsidR="00F501C9" w:rsidRPr="00E40082" w:rsidRDefault="00F501C9" w:rsidP="00BD2E57">
      <w:pPr>
        <w:spacing w:after="0" w:line="240" w:lineRule="exact"/>
        <w:jc w:val="both"/>
        <w:rPr>
          <w:rFonts w:ascii="Tahoma" w:eastAsia="Times New Roman" w:hAnsi="Tahoma" w:cs="Tahoma"/>
          <w:sz w:val="20"/>
          <w:szCs w:val="20"/>
          <w:lang w:eastAsia="tr-TR"/>
        </w:rPr>
      </w:pPr>
    </w:p>
    <w:p w14:paraId="29768E2D" w14:textId="4B19163B" w:rsidR="00F501C9" w:rsidRPr="00E40082" w:rsidRDefault="00F501C9" w:rsidP="00BD2E57">
      <w:pPr>
        <w:spacing w:after="0" w:line="240" w:lineRule="exact"/>
        <w:jc w:val="both"/>
        <w:rPr>
          <w:rFonts w:ascii="Tahoma" w:eastAsia="Times New Roman" w:hAnsi="Tahoma" w:cs="Tahoma"/>
          <w:sz w:val="20"/>
          <w:szCs w:val="20"/>
          <w:lang w:eastAsia="tr-TR"/>
        </w:rPr>
      </w:pPr>
      <w:r w:rsidRPr="00E40082">
        <w:rPr>
          <w:rFonts w:ascii="Tahoma" w:eastAsia="Times New Roman" w:hAnsi="Tahoma" w:cs="Tahoma"/>
          <w:sz w:val="20"/>
          <w:szCs w:val="20"/>
          <w:lang w:eastAsia="tr-TR"/>
        </w:rPr>
        <w:t>Kabahatler Kanunu</w:t>
      </w:r>
      <w:r w:rsidR="00C717CD" w:rsidRPr="00E40082">
        <w:rPr>
          <w:rFonts w:ascii="Tahoma" w:eastAsia="Times New Roman" w:hAnsi="Tahoma" w:cs="Tahoma"/>
          <w:sz w:val="20"/>
          <w:szCs w:val="20"/>
          <w:lang w:eastAsia="tr-TR"/>
        </w:rPr>
        <w:t>na göre idari para cezası gerektiren</w:t>
      </w:r>
      <w:r w:rsidR="00BA7C98" w:rsidRPr="00E40082">
        <w:rPr>
          <w:rFonts w:ascii="Tahoma" w:eastAsia="Times New Roman" w:hAnsi="Tahoma" w:cs="Tahoma"/>
          <w:sz w:val="20"/>
          <w:szCs w:val="20"/>
          <w:lang w:eastAsia="tr-TR"/>
        </w:rPr>
        <w:t xml:space="preserve"> başka</w:t>
      </w:r>
      <w:r w:rsidR="00C717CD" w:rsidRPr="00E40082">
        <w:rPr>
          <w:rFonts w:ascii="Tahoma" w:eastAsia="Times New Roman" w:hAnsi="Tahoma" w:cs="Tahoma"/>
          <w:sz w:val="20"/>
          <w:szCs w:val="20"/>
          <w:lang w:eastAsia="tr-TR"/>
        </w:rPr>
        <w:t xml:space="preserve"> fiillere örnek olarak bu Kanunun 38.</w:t>
      </w:r>
      <w:r w:rsidR="00C6526B" w:rsidRPr="00E40082">
        <w:rPr>
          <w:rFonts w:ascii="Tahoma" w:eastAsia="Times New Roman" w:hAnsi="Tahoma" w:cs="Tahoma"/>
          <w:sz w:val="20"/>
          <w:szCs w:val="20"/>
          <w:lang w:eastAsia="tr-TR"/>
        </w:rPr>
        <w:t>m</w:t>
      </w:r>
      <w:r w:rsidR="00C717CD" w:rsidRPr="00E40082">
        <w:rPr>
          <w:rFonts w:ascii="Tahoma" w:eastAsia="Times New Roman" w:hAnsi="Tahoma" w:cs="Tahoma"/>
          <w:sz w:val="20"/>
          <w:szCs w:val="20"/>
          <w:lang w:eastAsia="tr-TR"/>
        </w:rPr>
        <w:t xml:space="preserve">addesini gösterebiliriz. Bu </w:t>
      </w:r>
      <w:r w:rsidR="00C6526B" w:rsidRPr="00E40082">
        <w:rPr>
          <w:rFonts w:ascii="Tahoma" w:eastAsia="Times New Roman" w:hAnsi="Tahoma" w:cs="Tahoma"/>
          <w:sz w:val="20"/>
          <w:szCs w:val="20"/>
          <w:lang w:eastAsia="tr-TR"/>
        </w:rPr>
        <w:t>m</w:t>
      </w:r>
      <w:r w:rsidR="00C717CD" w:rsidRPr="00E40082">
        <w:rPr>
          <w:rFonts w:ascii="Tahoma" w:eastAsia="Times New Roman" w:hAnsi="Tahoma" w:cs="Tahoma"/>
          <w:sz w:val="20"/>
          <w:szCs w:val="20"/>
          <w:lang w:eastAsia="tr-TR"/>
        </w:rPr>
        <w:t xml:space="preserve">addeye </w:t>
      </w:r>
      <w:r w:rsidRPr="00E40082">
        <w:rPr>
          <w:rFonts w:ascii="Tahoma" w:eastAsia="Times New Roman" w:hAnsi="Tahoma" w:cs="Tahoma"/>
          <w:sz w:val="20"/>
          <w:szCs w:val="20"/>
          <w:lang w:eastAsia="tr-TR"/>
        </w:rPr>
        <w:t xml:space="preserve">göre, yetkili makamlardan izin almadan kaldırımları işgal edip burada mal satanlara idari para cezası uygulanacaktır. </w:t>
      </w:r>
    </w:p>
    <w:p w14:paraId="6A2CD125" w14:textId="77777777" w:rsidR="003271D8" w:rsidRPr="00E40082" w:rsidRDefault="003271D8" w:rsidP="00BD2E57">
      <w:pPr>
        <w:spacing w:after="0"/>
        <w:jc w:val="both"/>
        <w:rPr>
          <w:rFonts w:ascii="Tahoma" w:hAnsi="Tahoma" w:cs="Tahoma"/>
          <w:sz w:val="20"/>
          <w:szCs w:val="20"/>
        </w:rPr>
      </w:pPr>
    </w:p>
    <w:p w14:paraId="492A6220" w14:textId="6FFF7F55" w:rsidR="00A9367D" w:rsidRPr="00E40082" w:rsidRDefault="000C23D5" w:rsidP="00BD2E57">
      <w:pPr>
        <w:spacing w:after="0"/>
        <w:jc w:val="both"/>
        <w:rPr>
          <w:rFonts w:ascii="Tahoma" w:hAnsi="Tahoma" w:cs="Tahoma"/>
          <w:b/>
          <w:bCs/>
          <w:sz w:val="20"/>
          <w:szCs w:val="20"/>
          <w:u w:val="single"/>
        </w:rPr>
      </w:pPr>
      <w:r w:rsidRPr="00E40082">
        <w:rPr>
          <w:rFonts w:ascii="Tahoma" w:hAnsi="Tahoma" w:cs="Tahoma"/>
          <w:b/>
          <w:bCs/>
          <w:sz w:val="20"/>
          <w:szCs w:val="20"/>
          <w:u w:val="single"/>
        </w:rPr>
        <w:t>3</w:t>
      </w:r>
      <w:r w:rsidR="00827986" w:rsidRPr="00E40082">
        <w:rPr>
          <w:rFonts w:ascii="Tahoma" w:hAnsi="Tahoma" w:cs="Tahoma"/>
          <w:b/>
          <w:bCs/>
          <w:sz w:val="20"/>
          <w:szCs w:val="20"/>
          <w:u w:val="single"/>
        </w:rPr>
        <w:t>.BORÇLAR KANUNU:</w:t>
      </w:r>
    </w:p>
    <w:p w14:paraId="2107ECB7" w14:textId="77777777" w:rsidR="006E03BF" w:rsidRPr="00E40082" w:rsidRDefault="006E03BF" w:rsidP="00BD2E57">
      <w:pPr>
        <w:spacing w:after="0"/>
        <w:jc w:val="both"/>
        <w:rPr>
          <w:rFonts w:ascii="Tahoma" w:hAnsi="Tahoma" w:cs="Tahoma"/>
          <w:b/>
          <w:bCs/>
          <w:sz w:val="20"/>
          <w:szCs w:val="20"/>
          <w:u w:val="single"/>
        </w:rPr>
      </w:pPr>
    </w:p>
    <w:p w14:paraId="4DB5AAEE" w14:textId="43A3FA22" w:rsidR="006E03BF" w:rsidRPr="00E40082" w:rsidRDefault="006E03BF" w:rsidP="00BD2E57">
      <w:pPr>
        <w:spacing w:after="0"/>
        <w:jc w:val="both"/>
        <w:rPr>
          <w:rFonts w:ascii="Tahoma" w:hAnsi="Tahoma" w:cs="Tahoma"/>
          <w:sz w:val="20"/>
          <w:szCs w:val="20"/>
        </w:rPr>
      </w:pPr>
      <w:r w:rsidRPr="00E40082">
        <w:rPr>
          <w:rFonts w:ascii="Tahoma" w:hAnsi="Tahoma" w:cs="Tahoma"/>
          <w:sz w:val="20"/>
          <w:szCs w:val="20"/>
        </w:rPr>
        <w:t xml:space="preserve">Türk </w:t>
      </w:r>
      <w:r w:rsidR="00A27D45" w:rsidRPr="00E40082">
        <w:rPr>
          <w:rFonts w:ascii="Tahoma" w:hAnsi="Tahoma" w:cs="Tahoma"/>
          <w:sz w:val="20"/>
          <w:szCs w:val="20"/>
        </w:rPr>
        <w:t>Borçlar Kanunu’nun</w:t>
      </w:r>
      <w:r w:rsidRPr="00E40082">
        <w:rPr>
          <w:rFonts w:ascii="Tahoma" w:hAnsi="Tahoma" w:cs="Tahoma"/>
          <w:sz w:val="20"/>
          <w:szCs w:val="20"/>
        </w:rPr>
        <w:t xml:space="preserve"> 27.</w:t>
      </w:r>
      <w:r w:rsidR="00C6526B" w:rsidRPr="00E40082">
        <w:rPr>
          <w:rFonts w:ascii="Tahoma" w:hAnsi="Tahoma" w:cs="Tahoma"/>
          <w:sz w:val="20"/>
          <w:szCs w:val="20"/>
        </w:rPr>
        <w:t>m</w:t>
      </w:r>
      <w:r w:rsidRPr="00E40082">
        <w:rPr>
          <w:rFonts w:ascii="Tahoma" w:hAnsi="Tahoma" w:cs="Tahoma"/>
          <w:sz w:val="20"/>
          <w:szCs w:val="20"/>
        </w:rPr>
        <w:t>addesi aşağıdaki şekildedir:</w:t>
      </w:r>
    </w:p>
    <w:p w14:paraId="677415CA" w14:textId="77777777" w:rsidR="006E03BF" w:rsidRPr="00E40082" w:rsidRDefault="006E03BF" w:rsidP="00BD2E57">
      <w:pPr>
        <w:spacing w:after="0"/>
        <w:jc w:val="both"/>
        <w:rPr>
          <w:rFonts w:ascii="Tahoma" w:hAnsi="Tahoma" w:cs="Tahoma"/>
          <w:b/>
          <w:bCs/>
          <w:sz w:val="20"/>
          <w:szCs w:val="20"/>
          <w:u w:val="single"/>
        </w:rPr>
      </w:pPr>
    </w:p>
    <w:p w14:paraId="235D4129" w14:textId="38316C8A" w:rsidR="006E03BF" w:rsidRPr="00E40082" w:rsidRDefault="006E03BF" w:rsidP="00BD2E57">
      <w:pPr>
        <w:pStyle w:val="Balk2"/>
        <w:keepNext w:val="0"/>
        <w:spacing w:before="0" w:after="0" w:line="240" w:lineRule="exact"/>
        <w:jc w:val="both"/>
        <w:rPr>
          <w:rFonts w:ascii="Tahoma" w:hAnsi="Tahoma" w:cs="Tahoma"/>
          <w:b/>
          <w:i/>
          <w:color w:val="auto"/>
          <w:sz w:val="20"/>
          <w:szCs w:val="20"/>
        </w:rPr>
      </w:pPr>
      <w:r w:rsidRPr="00E40082">
        <w:rPr>
          <w:rFonts w:ascii="Tahoma" w:hAnsi="Tahoma" w:cs="Tahoma"/>
          <w:b/>
          <w:i/>
          <w:color w:val="auto"/>
          <w:sz w:val="20"/>
          <w:szCs w:val="20"/>
        </w:rPr>
        <w:t>“Kesin hükümsüzlük</w:t>
      </w:r>
    </w:p>
    <w:p w14:paraId="5A15E539" w14:textId="77777777" w:rsidR="006E03BF" w:rsidRPr="00E40082" w:rsidRDefault="006E03BF" w:rsidP="00BD2E57">
      <w:pPr>
        <w:pStyle w:val="Balk2"/>
        <w:keepNext w:val="0"/>
        <w:spacing w:before="0" w:after="0" w:line="240" w:lineRule="exact"/>
        <w:jc w:val="both"/>
        <w:rPr>
          <w:rFonts w:ascii="Tahoma" w:hAnsi="Tahoma" w:cs="Tahoma"/>
          <w:b/>
          <w:i/>
          <w:sz w:val="20"/>
          <w:szCs w:val="20"/>
        </w:rPr>
      </w:pPr>
    </w:p>
    <w:p w14:paraId="17A2D99F" w14:textId="4B997B24" w:rsidR="006E03BF" w:rsidRPr="00E40082" w:rsidRDefault="006E03BF" w:rsidP="00BD2E57">
      <w:pPr>
        <w:pStyle w:val="Balk2"/>
        <w:keepNext w:val="0"/>
        <w:spacing w:before="0" w:after="0" w:line="240" w:lineRule="exact"/>
        <w:jc w:val="both"/>
        <w:rPr>
          <w:rFonts w:ascii="Tahoma" w:hAnsi="Tahoma" w:cs="Tahoma"/>
          <w:b/>
          <w:i/>
          <w:color w:val="000000" w:themeColor="text1"/>
          <w:sz w:val="20"/>
          <w:szCs w:val="20"/>
        </w:rPr>
      </w:pPr>
      <w:r w:rsidRPr="00E40082">
        <w:rPr>
          <w:rFonts w:ascii="Tahoma" w:hAnsi="Tahoma" w:cs="Tahoma"/>
          <w:bCs/>
          <w:i/>
          <w:color w:val="000000" w:themeColor="text1"/>
          <w:sz w:val="20"/>
          <w:szCs w:val="20"/>
        </w:rPr>
        <w:lastRenderedPageBreak/>
        <w:t>MADDE 27- Kanunun emredici hükümlerine, ahlaka, kamu düzenine, kişilik haklarına aykırı veya konusu imkânsız olan sözleşmeler kesin olarak hükümsüzdür.</w:t>
      </w:r>
    </w:p>
    <w:p w14:paraId="631FDE11" w14:textId="77777777" w:rsidR="006E03BF" w:rsidRPr="00E40082" w:rsidRDefault="006E03BF" w:rsidP="00BD2E57">
      <w:pPr>
        <w:pStyle w:val="KonuBal"/>
        <w:spacing w:line="240" w:lineRule="exact"/>
        <w:jc w:val="both"/>
        <w:rPr>
          <w:rFonts w:ascii="Tahoma" w:hAnsi="Tahoma" w:cs="Tahoma"/>
          <w:bCs/>
          <w:i/>
          <w:sz w:val="20"/>
          <w:szCs w:val="20"/>
        </w:rPr>
      </w:pPr>
    </w:p>
    <w:p w14:paraId="5D835E42" w14:textId="70C57A6A" w:rsidR="006E03BF" w:rsidRPr="00E40082" w:rsidRDefault="006E03BF" w:rsidP="00BD2E57">
      <w:pPr>
        <w:pStyle w:val="KonuBal"/>
        <w:spacing w:after="0" w:line="240" w:lineRule="exact"/>
        <w:jc w:val="both"/>
        <w:rPr>
          <w:rFonts w:ascii="Tahoma" w:hAnsi="Tahoma" w:cs="Tahoma"/>
          <w:bCs/>
          <w:i/>
          <w:sz w:val="20"/>
          <w:szCs w:val="20"/>
        </w:rPr>
      </w:pPr>
      <w:r w:rsidRPr="00E40082">
        <w:rPr>
          <w:rFonts w:ascii="Tahoma" w:hAnsi="Tahoma" w:cs="Tahoma"/>
          <w:bCs/>
          <w:i/>
          <w:sz w:val="20"/>
          <w:szCs w:val="20"/>
        </w:rPr>
        <w:t>Sözleşmenin içerdiği hükümlerden bir kısmının hükümsüz olması, diğerlerinin geçerliliğini etkilemez. Ancak, bu hükümler olmaksızın sözleşmenin yapılmayacağı açıkça anlaşılırsa, sözleşmenin tamamı kesin olarak hükümsüz olur.”</w:t>
      </w:r>
    </w:p>
    <w:p w14:paraId="555320EA" w14:textId="77777777" w:rsidR="00827986" w:rsidRPr="00E40082" w:rsidRDefault="00827986" w:rsidP="00BD2E57">
      <w:pPr>
        <w:spacing w:after="0"/>
        <w:jc w:val="both"/>
        <w:rPr>
          <w:rFonts w:ascii="Tahoma" w:hAnsi="Tahoma" w:cs="Tahoma"/>
          <w:b/>
          <w:bCs/>
          <w:i/>
          <w:iCs/>
          <w:sz w:val="20"/>
          <w:szCs w:val="20"/>
        </w:rPr>
      </w:pPr>
    </w:p>
    <w:p w14:paraId="4385ECA5" w14:textId="59145FE3" w:rsidR="00827986" w:rsidRPr="00E40082" w:rsidRDefault="00827986" w:rsidP="00BD2E57">
      <w:pPr>
        <w:spacing w:after="0"/>
        <w:jc w:val="both"/>
        <w:rPr>
          <w:rFonts w:ascii="Tahoma" w:hAnsi="Tahoma" w:cs="Tahoma"/>
          <w:sz w:val="20"/>
          <w:szCs w:val="20"/>
        </w:rPr>
      </w:pPr>
      <w:r w:rsidRPr="00E40082">
        <w:rPr>
          <w:rFonts w:ascii="Tahoma" w:hAnsi="Tahoma" w:cs="Tahoma"/>
          <w:b/>
          <w:bCs/>
          <w:sz w:val="20"/>
          <w:szCs w:val="20"/>
        </w:rPr>
        <w:t>Yargıtay Hukuk Genel Kurulu 10.02.2012 tarih, 2010/1 E., 2012/1 K.</w:t>
      </w:r>
      <w:r w:rsidRPr="00E40082">
        <w:rPr>
          <w:rFonts w:ascii="Tahoma" w:hAnsi="Tahoma" w:cs="Tahoma"/>
          <w:sz w:val="20"/>
          <w:szCs w:val="20"/>
        </w:rPr>
        <w:t xml:space="preserve"> sayılı kararında kamu düzeni kavramını şu şekilde izah etmiştir:</w:t>
      </w:r>
    </w:p>
    <w:p w14:paraId="6A1A6CE3" w14:textId="77777777" w:rsidR="00827986" w:rsidRPr="00E40082" w:rsidRDefault="00827986" w:rsidP="00BD2E57">
      <w:pPr>
        <w:spacing w:after="0"/>
        <w:jc w:val="both"/>
        <w:rPr>
          <w:rFonts w:ascii="Tahoma" w:hAnsi="Tahoma" w:cs="Tahoma"/>
          <w:sz w:val="20"/>
          <w:szCs w:val="20"/>
        </w:rPr>
      </w:pPr>
    </w:p>
    <w:p w14:paraId="6B9365D5" w14:textId="58D89212" w:rsidR="00827986" w:rsidRPr="00E40082" w:rsidRDefault="00827986" w:rsidP="00BD2E57">
      <w:pPr>
        <w:spacing w:after="0"/>
        <w:jc w:val="both"/>
        <w:rPr>
          <w:rFonts w:ascii="Tahoma" w:hAnsi="Tahoma" w:cs="Tahoma"/>
          <w:i/>
          <w:iCs/>
          <w:sz w:val="20"/>
          <w:szCs w:val="20"/>
        </w:rPr>
      </w:pPr>
      <w:r w:rsidRPr="00E40082">
        <w:rPr>
          <w:rFonts w:ascii="Tahoma" w:hAnsi="Tahoma" w:cs="Tahoma"/>
          <w:i/>
          <w:iCs/>
          <w:sz w:val="20"/>
          <w:szCs w:val="20"/>
        </w:rPr>
        <w:t xml:space="preserve"> "...Kamu düzeni, niteliği gereği zamana, yere göre değişen, içeriğinin tespiti zor bir her somut olaya göre değişiklik gösteren bir kavramdır. İlmi açıklamalara ve yargısal kararlara rağmen gelişen hukuk sistemlerinde bile tanımı olmamasına rağmen toplumun temel yapısını ve çıkarlarını koruyan kuralların bütünü olarak tanım yapılabilir. Kamu düzeni kavramının müdahale alanı son derece geniş ve yoruma müsaittir... Türk kamu düzeninin ihlalini gerektirecek haller çoğunlukla emredici bir hükmün açıkça ihlali halinde düşünülecektir. Fakat her emredici hükmün ihlali halinde veya her emredici hükmü ihlal eden bir yabancı kararın Türk kamu düzenine aykırı bulunduğunu söylemek olanaklı değildir. O halde, iç hukuktaki kamu düzeninin çerçevesi, Türk hukukunun temel değerlerine, Türk genel adap ve ahlak anlayışına, Türk kanunlarının dayandığı temel adalet anlayışına, Türk kanunlarının dayandığı genel siyasete, Anayasada yer alan temel hak ve özgürlüklere, milletlerarası alanda geçerli ortak prensip ve özel hukuka ait </w:t>
      </w:r>
      <w:r w:rsidR="00AE5DA5" w:rsidRPr="00E40082">
        <w:rPr>
          <w:rFonts w:ascii="Tahoma" w:hAnsi="Tahoma" w:cs="Tahoma"/>
          <w:i/>
          <w:iCs/>
          <w:sz w:val="20"/>
          <w:szCs w:val="20"/>
        </w:rPr>
        <w:t>iyi niyet</w:t>
      </w:r>
      <w:r w:rsidRPr="00E40082">
        <w:rPr>
          <w:rFonts w:ascii="Tahoma" w:hAnsi="Tahoma" w:cs="Tahoma"/>
          <w:i/>
          <w:iCs/>
          <w:sz w:val="20"/>
          <w:szCs w:val="20"/>
        </w:rPr>
        <w:t xml:space="preserve"> prensibine dayanan kurallara, medeni toplulukların müştereken benimsedikleri ahlak ilkeleri ve adalet anlayışının ifadesi olan hukuk prensiplerine, toplumun medeniyet seviyesine, siyasi ve ekonomik rejimine, insan hak ve özgürlüklerine aykırılık şeklinde çizilebilir. İç hukukta kamu düzeninin, tarafların uymak zorunda oldukları, kamu hukukundan ve özel hukuktan doğan ancak tarafların üzerinde serbestçe tasarruf edemeyecekleri kurallar olarak anlaşılması gerekir..." Sonuç olarak tarafların yapacakları hukuki işlemlerde tesis edecekleri ağır kamu düzenine aykırı hükümler TBK'nin 27/1.maddesi kapsamında kesin hükümsüzlük yaptırımına tabi olacak ve geçersiz kabul edilecektir.”</w:t>
      </w:r>
    </w:p>
    <w:p w14:paraId="690E7B0C" w14:textId="77777777" w:rsidR="00827986" w:rsidRPr="00E40082" w:rsidRDefault="00827986" w:rsidP="00BD2E57">
      <w:pPr>
        <w:jc w:val="both"/>
        <w:rPr>
          <w:rFonts w:ascii="Tahoma" w:hAnsi="Tahoma" w:cs="Tahoma"/>
          <w:sz w:val="20"/>
          <w:szCs w:val="20"/>
        </w:rPr>
      </w:pPr>
    </w:p>
    <w:p w14:paraId="72FFE8FE" w14:textId="6ED3C41D" w:rsidR="00827986" w:rsidRPr="00E40082" w:rsidRDefault="00A22761" w:rsidP="00BD2E57">
      <w:pPr>
        <w:jc w:val="both"/>
        <w:rPr>
          <w:rFonts w:ascii="Tahoma" w:hAnsi="Tahoma" w:cs="Tahoma"/>
          <w:sz w:val="20"/>
          <w:szCs w:val="20"/>
        </w:rPr>
      </w:pPr>
      <w:r w:rsidRPr="00E40082">
        <w:rPr>
          <w:rFonts w:ascii="Tahoma" w:hAnsi="Tahoma" w:cs="Tahoma"/>
          <w:sz w:val="20"/>
          <w:szCs w:val="20"/>
        </w:rPr>
        <w:object w:dxaOrig="1534" w:dyaOrig="997" w14:anchorId="4744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Package" ShapeID="_x0000_i1025" DrawAspect="Icon" ObjectID="_1839752243" r:id="rId14"/>
        </w:object>
      </w:r>
    </w:p>
    <w:p w14:paraId="4D3946CC" w14:textId="16203F73" w:rsidR="006E03BF" w:rsidRPr="00E40082" w:rsidRDefault="000C23D5" w:rsidP="00BD2E57">
      <w:pPr>
        <w:jc w:val="both"/>
        <w:rPr>
          <w:rFonts w:ascii="Tahoma" w:hAnsi="Tahoma" w:cs="Tahoma"/>
          <w:b/>
          <w:bCs/>
          <w:sz w:val="20"/>
          <w:szCs w:val="20"/>
          <w:u w:val="single"/>
        </w:rPr>
      </w:pPr>
      <w:r w:rsidRPr="00E40082">
        <w:rPr>
          <w:rFonts w:ascii="Tahoma" w:hAnsi="Tahoma" w:cs="Tahoma"/>
          <w:b/>
          <w:bCs/>
          <w:sz w:val="20"/>
          <w:szCs w:val="20"/>
          <w:u w:val="single"/>
        </w:rPr>
        <w:t>4</w:t>
      </w:r>
      <w:r w:rsidR="00827986" w:rsidRPr="00E40082">
        <w:rPr>
          <w:rFonts w:ascii="Tahoma" w:hAnsi="Tahoma" w:cs="Tahoma"/>
          <w:b/>
          <w:bCs/>
          <w:sz w:val="20"/>
          <w:szCs w:val="20"/>
          <w:u w:val="single"/>
        </w:rPr>
        <w:t xml:space="preserve">. DÖVİZLİ İŞLEM YASAĞIYLA </w:t>
      </w:r>
      <w:proofErr w:type="gramStart"/>
      <w:r w:rsidR="00827986" w:rsidRPr="00E40082">
        <w:rPr>
          <w:rFonts w:ascii="Tahoma" w:hAnsi="Tahoma" w:cs="Tahoma"/>
          <w:b/>
          <w:bCs/>
          <w:sz w:val="20"/>
          <w:szCs w:val="20"/>
          <w:u w:val="single"/>
        </w:rPr>
        <w:t>İLGİLİ  YARGITAY</w:t>
      </w:r>
      <w:proofErr w:type="gramEnd"/>
      <w:r w:rsidR="00827986" w:rsidRPr="00E40082">
        <w:rPr>
          <w:rFonts w:ascii="Tahoma" w:hAnsi="Tahoma" w:cs="Tahoma"/>
          <w:b/>
          <w:bCs/>
          <w:sz w:val="20"/>
          <w:szCs w:val="20"/>
          <w:u w:val="single"/>
        </w:rPr>
        <w:t xml:space="preserve"> KARARI:</w:t>
      </w:r>
    </w:p>
    <w:p w14:paraId="141EB550" w14:textId="4D5919EF" w:rsidR="006E03BF" w:rsidRPr="00E40082" w:rsidRDefault="00C67DDD" w:rsidP="00BD2E57">
      <w:pPr>
        <w:jc w:val="both"/>
        <w:rPr>
          <w:rFonts w:ascii="Tahoma" w:hAnsi="Tahoma" w:cs="Tahoma"/>
          <w:sz w:val="20"/>
          <w:szCs w:val="20"/>
        </w:rPr>
      </w:pPr>
      <w:r w:rsidRPr="00E40082">
        <w:rPr>
          <w:rFonts w:ascii="Tahoma" w:hAnsi="Tahoma" w:cs="Tahoma"/>
          <w:sz w:val="20"/>
          <w:szCs w:val="20"/>
        </w:rPr>
        <w:t>Yargıtay 12.</w:t>
      </w:r>
      <w:r w:rsidR="00C07282" w:rsidRPr="00E40082">
        <w:rPr>
          <w:rFonts w:ascii="Tahoma" w:hAnsi="Tahoma" w:cs="Tahoma"/>
          <w:sz w:val="20"/>
          <w:szCs w:val="20"/>
        </w:rPr>
        <w:t xml:space="preserve">Hukuk Dairesinin 6 Ekim 2022 tarihli Esas No: 2022/6469, Karar No:2022/9954 sayılı </w:t>
      </w:r>
      <w:r w:rsidRPr="00E40082">
        <w:rPr>
          <w:rFonts w:ascii="Tahoma" w:hAnsi="Tahoma" w:cs="Tahoma"/>
          <w:sz w:val="20"/>
          <w:szCs w:val="20"/>
        </w:rPr>
        <w:t>Kararında; döviz</w:t>
      </w:r>
      <w:r w:rsidR="00C07282" w:rsidRPr="00E40082">
        <w:rPr>
          <w:rFonts w:ascii="Tahoma" w:hAnsi="Tahoma" w:cs="Tahoma"/>
          <w:sz w:val="20"/>
          <w:szCs w:val="20"/>
        </w:rPr>
        <w:t xml:space="preserve"> cinsinden belirlenmiş bir </w:t>
      </w:r>
      <w:r w:rsidRPr="00E40082">
        <w:rPr>
          <w:rFonts w:ascii="Tahoma" w:hAnsi="Tahoma" w:cs="Tahoma"/>
          <w:sz w:val="20"/>
          <w:szCs w:val="20"/>
        </w:rPr>
        <w:t>kira bedeli</w:t>
      </w:r>
      <w:r w:rsidR="00C07282" w:rsidRPr="00E40082">
        <w:rPr>
          <w:rFonts w:ascii="Tahoma" w:hAnsi="Tahoma" w:cs="Tahoma"/>
          <w:sz w:val="20"/>
          <w:szCs w:val="20"/>
        </w:rPr>
        <w:t xml:space="preserve"> </w:t>
      </w:r>
      <w:r w:rsidRPr="00E40082">
        <w:rPr>
          <w:rFonts w:ascii="Tahoma" w:hAnsi="Tahoma" w:cs="Tahoma"/>
          <w:sz w:val="20"/>
          <w:szCs w:val="20"/>
        </w:rPr>
        <w:t>anlaşmazlığında, Türk</w:t>
      </w:r>
      <w:r w:rsidR="00C07282" w:rsidRPr="00E40082">
        <w:rPr>
          <w:rFonts w:ascii="Tahoma" w:hAnsi="Tahoma" w:cs="Tahoma"/>
          <w:sz w:val="20"/>
          <w:szCs w:val="20"/>
        </w:rPr>
        <w:t xml:space="preserve"> Parasının Kıymetini Koruma Hakkında 32/34 sayılı Tebliğin </w:t>
      </w:r>
      <w:r w:rsidR="00BE322A" w:rsidRPr="00E40082">
        <w:rPr>
          <w:rFonts w:ascii="Tahoma" w:hAnsi="Tahoma" w:cs="Tahoma"/>
          <w:sz w:val="20"/>
          <w:szCs w:val="20"/>
        </w:rPr>
        <w:t xml:space="preserve">8.Maddesine </w:t>
      </w:r>
      <w:r w:rsidRPr="00E40082">
        <w:rPr>
          <w:rFonts w:ascii="Tahoma" w:hAnsi="Tahoma" w:cs="Tahoma"/>
          <w:sz w:val="20"/>
          <w:szCs w:val="20"/>
        </w:rPr>
        <w:t>göre taşınmaz</w:t>
      </w:r>
      <w:r w:rsidR="00BE322A" w:rsidRPr="00E40082">
        <w:rPr>
          <w:rFonts w:ascii="Tahoma" w:hAnsi="Tahoma" w:cs="Tahoma"/>
          <w:sz w:val="20"/>
          <w:szCs w:val="20"/>
        </w:rPr>
        <w:t xml:space="preserve"> kira bedellerinin döviz cinsinden belirlenmesi ve ödemelerinin döviz cinsinden yapılmasının yasaklanmış olmasından hareketle aşağıdaki hükme yer verilmiştir:</w:t>
      </w:r>
    </w:p>
    <w:p w14:paraId="73FF984D" w14:textId="7D25629C" w:rsidR="000C23D5" w:rsidRPr="00E40082" w:rsidRDefault="000C23D5" w:rsidP="00BD2E57">
      <w:pPr>
        <w:jc w:val="both"/>
        <w:rPr>
          <w:rFonts w:ascii="Tahoma" w:hAnsi="Tahoma" w:cs="Tahoma"/>
          <w:b/>
          <w:bCs/>
          <w:sz w:val="20"/>
          <w:szCs w:val="20"/>
          <w:u w:val="single"/>
        </w:rPr>
      </w:pPr>
      <w:r w:rsidRPr="00E40082">
        <w:rPr>
          <w:rFonts w:ascii="Tahoma" w:hAnsi="Tahoma" w:cs="Tahoma"/>
          <w:sz w:val="20"/>
          <w:szCs w:val="20"/>
        </w:rPr>
        <w:t xml:space="preserve">“… Türk Borçlar Kanunu'nun 26’ncı maddesinde; "Taraflar, bir sözleşmenin içeriğini kanunda öngörülen sınırlar içinde özgürce belirleyebilirler." hükmüne yer verilmekle aynı kanunun 27/1. maddesinde ise; kanunun emredici hükümlerine, ahlaka, kamu düzenine, kişilik haklarına aykırı veya konusu </w:t>
      </w:r>
      <w:proofErr w:type="gramStart"/>
      <w:r w:rsidRPr="00E40082">
        <w:rPr>
          <w:rFonts w:ascii="Tahoma" w:hAnsi="Tahoma" w:cs="Tahoma"/>
          <w:sz w:val="20"/>
          <w:szCs w:val="20"/>
        </w:rPr>
        <w:t>imkansız</w:t>
      </w:r>
      <w:proofErr w:type="gramEnd"/>
      <w:r w:rsidRPr="00E40082">
        <w:rPr>
          <w:rFonts w:ascii="Tahoma" w:hAnsi="Tahoma" w:cs="Tahoma"/>
          <w:sz w:val="20"/>
          <w:szCs w:val="20"/>
        </w:rPr>
        <w:t xml:space="preserve"> olan sözleşmelerin kesin hükümsüz olacağı düzenlenmiştir. Türk parasının kıymetinin korunması amacıyla yürürlüğe konulan mevzuatta 2018 yılında yapılan değişiklik ile döviz cinsinden ve dövize endeksli olarak sözleşme yapma özgürlüğüne sınırlama getirilmekle ekonomik kamu düzeninin korunması amaçlanmış olup bu durumun mahkemelerce resen dikkate alınması gerekmektedir.”</w:t>
      </w:r>
    </w:p>
    <w:p w14:paraId="7A2A0EED" w14:textId="0D317B78" w:rsidR="006E03BF" w:rsidRPr="00E40082" w:rsidRDefault="000C02EC" w:rsidP="00BD2E57">
      <w:pPr>
        <w:spacing w:after="0"/>
        <w:jc w:val="both"/>
        <w:rPr>
          <w:rFonts w:ascii="Tahoma" w:hAnsi="Tahoma" w:cs="Tahoma"/>
          <w:sz w:val="20"/>
          <w:szCs w:val="20"/>
        </w:rPr>
      </w:pPr>
      <w:r w:rsidRPr="00E40082">
        <w:rPr>
          <w:rFonts w:ascii="Tahoma" w:hAnsi="Tahoma" w:cs="Tahoma"/>
          <w:sz w:val="20"/>
          <w:szCs w:val="20"/>
        </w:rPr>
        <w:object w:dxaOrig="1534" w:dyaOrig="997" w14:anchorId="6E9E31D2">
          <v:shape id="_x0000_i1026" type="#_x0000_t75" style="width:76.5pt;height:49.5pt" o:ole="">
            <v:imagedata r:id="rId15" o:title=""/>
          </v:shape>
          <o:OLEObject Type="Embed" ProgID="Package" ShapeID="_x0000_i1026" DrawAspect="Icon" ObjectID="_1839752244" r:id="rId16"/>
        </w:object>
      </w:r>
    </w:p>
    <w:p w14:paraId="5662003E" w14:textId="308A86DF" w:rsidR="00BE322A" w:rsidRPr="00E40082" w:rsidRDefault="00BE322A" w:rsidP="00BD2E57">
      <w:pPr>
        <w:spacing w:after="0"/>
        <w:jc w:val="both"/>
        <w:rPr>
          <w:rFonts w:ascii="Tahoma" w:hAnsi="Tahoma" w:cs="Tahoma"/>
          <w:sz w:val="20"/>
          <w:szCs w:val="20"/>
        </w:rPr>
      </w:pPr>
      <w:r w:rsidRPr="00E40082">
        <w:rPr>
          <w:rFonts w:ascii="Tahoma" w:hAnsi="Tahoma" w:cs="Tahoma"/>
          <w:sz w:val="20"/>
          <w:szCs w:val="20"/>
        </w:rPr>
        <w:lastRenderedPageBreak/>
        <w:t xml:space="preserve">Kararda; </w:t>
      </w:r>
      <w:r w:rsidR="007809E4" w:rsidRPr="00E40082">
        <w:rPr>
          <w:rFonts w:ascii="Tahoma" w:hAnsi="Tahoma" w:cs="Tahoma"/>
          <w:sz w:val="20"/>
          <w:szCs w:val="20"/>
        </w:rPr>
        <w:t xml:space="preserve">kira bedeli döviz cinsinden belirlenen sözleşmelerin </w:t>
      </w:r>
      <w:r w:rsidR="000C02EC" w:rsidRPr="00E40082">
        <w:rPr>
          <w:rFonts w:ascii="Tahoma" w:hAnsi="Tahoma" w:cs="Tahoma"/>
          <w:sz w:val="20"/>
          <w:szCs w:val="20"/>
        </w:rPr>
        <w:t xml:space="preserve">  </w:t>
      </w:r>
      <w:r w:rsidR="007809E4" w:rsidRPr="00E40082">
        <w:rPr>
          <w:rFonts w:ascii="Tahoma" w:hAnsi="Tahoma" w:cs="Tahoma"/>
          <w:sz w:val="20"/>
          <w:szCs w:val="20"/>
        </w:rPr>
        <w:t xml:space="preserve">32/34 sayılı Tebliğin 8. </w:t>
      </w:r>
      <w:r w:rsidR="00C67DDD" w:rsidRPr="00E40082">
        <w:rPr>
          <w:rFonts w:ascii="Tahoma" w:hAnsi="Tahoma" w:cs="Tahoma"/>
          <w:sz w:val="20"/>
          <w:szCs w:val="20"/>
        </w:rPr>
        <w:t>maddesinin 28.</w:t>
      </w:r>
      <w:r w:rsidR="007809E4" w:rsidRPr="00E40082">
        <w:rPr>
          <w:rFonts w:ascii="Tahoma" w:hAnsi="Tahoma" w:cs="Tahoma"/>
          <w:sz w:val="20"/>
          <w:szCs w:val="20"/>
        </w:rPr>
        <w:t xml:space="preserve"> </w:t>
      </w:r>
      <w:proofErr w:type="gramStart"/>
      <w:r w:rsidR="007809E4" w:rsidRPr="00E40082">
        <w:rPr>
          <w:rFonts w:ascii="Tahoma" w:hAnsi="Tahoma" w:cs="Tahoma"/>
          <w:sz w:val="20"/>
          <w:szCs w:val="20"/>
        </w:rPr>
        <w:t>ve  29.</w:t>
      </w:r>
      <w:proofErr w:type="gramEnd"/>
      <w:r w:rsidR="007809E4" w:rsidRPr="00E40082">
        <w:rPr>
          <w:rFonts w:ascii="Tahoma" w:hAnsi="Tahoma" w:cs="Tahoma"/>
          <w:sz w:val="20"/>
          <w:szCs w:val="20"/>
        </w:rPr>
        <w:t xml:space="preserve"> Fıkralarında yer alan düzenlemelere istinaden Türk </w:t>
      </w:r>
      <w:proofErr w:type="gramStart"/>
      <w:r w:rsidR="007809E4" w:rsidRPr="00E40082">
        <w:rPr>
          <w:rFonts w:ascii="Tahoma" w:hAnsi="Tahoma" w:cs="Tahoma"/>
          <w:sz w:val="20"/>
          <w:szCs w:val="20"/>
        </w:rPr>
        <w:t>Lirası</w:t>
      </w:r>
      <w:proofErr w:type="gramEnd"/>
      <w:r w:rsidR="007809E4" w:rsidRPr="00E40082">
        <w:rPr>
          <w:rFonts w:ascii="Tahoma" w:hAnsi="Tahoma" w:cs="Tahoma"/>
          <w:sz w:val="20"/>
          <w:szCs w:val="20"/>
        </w:rPr>
        <w:t xml:space="preserve"> cinsinden tespit edilmesi gerektiği de ifade edilmiştir.</w:t>
      </w:r>
    </w:p>
    <w:p w14:paraId="5325DD89" w14:textId="77777777" w:rsidR="007809E4" w:rsidRPr="00E40082" w:rsidRDefault="007809E4" w:rsidP="00BD2E57">
      <w:pPr>
        <w:spacing w:after="0"/>
        <w:jc w:val="both"/>
        <w:rPr>
          <w:rFonts w:ascii="Tahoma" w:hAnsi="Tahoma" w:cs="Tahoma"/>
          <w:sz w:val="20"/>
          <w:szCs w:val="20"/>
        </w:rPr>
      </w:pPr>
    </w:p>
    <w:p w14:paraId="4F4A577B" w14:textId="72DE38B8" w:rsidR="00BE322A" w:rsidRPr="00E40082" w:rsidRDefault="007809E4" w:rsidP="00BD2E57">
      <w:pPr>
        <w:spacing w:after="0"/>
        <w:jc w:val="both"/>
        <w:rPr>
          <w:rFonts w:ascii="Tahoma" w:hAnsi="Tahoma" w:cs="Tahoma"/>
          <w:sz w:val="20"/>
          <w:szCs w:val="20"/>
        </w:rPr>
      </w:pPr>
      <w:r w:rsidRPr="00E40082">
        <w:rPr>
          <w:rFonts w:ascii="Tahoma" w:hAnsi="Tahoma" w:cs="Tahoma"/>
          <w:sz w:val="20"/>
          <w:szCs w:val="20"/>
        </w:rPr>
        <w:t xml:space="preserve">Görüldüğü üzere; burada </w:t>
      </w:r>
      <w:r w:rsidR="00C67DDD" w:rsidRPr="00E40082">
        <w:rPr>
          <w:rFonts w:ascii="Tahoma" w:hAnsi="Tahoma" w:cs="Tahoma"/>
          <w:sz w:val="20"/>
          <w:szCs w:val="20"/>
        </w:rPr>
        <w:t>sözleşme tamamen</w:t>
      </w:r>
      <w:r w:rsidRPr="00E40082">
        <w:rPr>
          <w:rFonts w:ascii="Tahoma" w:hAnsi="Tahoma" w:cs="Tahoma"/>
          <w:sz w:val="20"/>
          <w:szCs w:val="20"/>
        </w:rPr>
        <w:t xml:space="preserve"> geçersiz sayılmamış, sadece döviz cinsinden kira bedeline ilişkin kısmı hükümsüz kabul </w:t>
      </w:r>
      <w:r w:rsidR="00C67DDD" w:rsidRPr="00E40082">
        <w:rPr>
          <w:rFonts w:ascii="Tahoma" w:hAnsi="Tahoma" w:cs="Tahoma"/>
          <w:sz w:val="20"/>
          <w:szCs w:val="20"/>
        </w:rPr>
        <w:t>edilerek kira</w:t>
      </w:r>
      <w:r w:rsidRPr="00E40082">
        <w:rPr>
          <w:rFonts w:ascii="Tahoma" w:hAnsi="Tahoma" w:cs="Tahoma"/>
          <w:sz w:val="20"/>
          <w:szCs w:val="20"/>
        </w:rPr>
        <w:t xml:space="preserve"> bedelinin Türk </w:t>
      </w:r>
      <w:proofErr w:type="gramStart"/>
      <w:r w:rsidRPr="00E40082">
        <w:rPr>
          <w:rFonts w:ascii="Tahoma" w:hAnsi="Tahoma" w:cs="Tahoma"/>
          <w:sz w:val="20"/>
          <w:szCs w:val="20"/>
        </w:rPr>
        <w:t>Lirası</w:t>
      </w:r>
      <w:proofErr w:type="gramEnd"/>
      <w:r w:rsidRPr="00E40082">
        <w:rPr>
          <w:rFonts w:ascii="Tahoma" w:hAnsi="Tahoma" w:cs="Tahoma"/>
          <w:sz w:val="20"/>
          <w:szCs w:val="20"/>
        </w:rPr>
        <w:t xml:space="preserve"> olarak </w:t>
      </w:r>
      <w:r w:rsidR="00AE5DA5" w:rsidRPr="00E40082">
        <w:rPr>
          <w:rFonts w:ascii="Tahoma" w:hAnsi="Tahoma" w:cs="Tahoma"/>
          <w:sz w:val="20"/>
          <w:szCs w:val="20"/>
        </w:rPr>
        <w:t xml:space="preserve">nasıl </w:t>
      </w:r>
      <w:r w:rsidRPr="00E40082">
        <w:rPr>
          <w:rFonts w:ascii="Tahoma" w:hAnsi="Tahoma" w:cs="Tahoma"/>
          <w:sz w:val="20"/>
          <w:szCs w:val="20"/>
        </w:rPr>
        <w:t xml:space="preserve">belirlenmesi gerektiği ifade edilmiştir. Dolayısıyla, </w:t>
      </w:r>
      <w:r w:rsidR="00C67DDD" w:rsidRPr="00E40082">
        <w:rPr>
          <w:rFonts w:ascii="Tahoma" w:hAnsi="Tahoma" w:cs="Tahoma"/>
          <w:sz w:val="20"/>
          <w:szCs w:val="20"/>
        </w:rPr>
        <w:t>Borçlar Kanunu’nun</w:t>
      </w:r>
      <w:r w:rsidRPr="00E40082">
        <w:rPr>
          <w:rFonts w:ascii="Tahoma" w:hAnsi="Tahoma" w:cs="Tahoma"/>
          <w:sz w:val="20"/>
          <w:szCs w:val="20"/>
        </w:rPr>
        <w:t xml:space="preserve"> 27.</w:t>
      </w:r>
      <w:r w:rsidR="00C6526B" w:rsidRPr="00E40082">
        <w:rPr>
          <w:rFonts w:ascii="Tahoma" w:hAnsi="Tahoma" w:cs="Tahoma"/>
          <w:sz w:val="20"/>
          <w:szCs w:val="20"/>
        </w:rPr>
        <w:t>m</w:t>
      </w:r>
      <w:r w:rsidRPr="00E40082">
        <w:rPr>
          <w:rFonts w:ascii="Tahoma" w:hAnsi="Tahoma" w:cs="Tahoma"/>
          <w:sz w:val="20"/>
          <w:szCs w:val="20"/>
        </w:rPr>
        <w:t xml:space="preserve">addesinin 2. </w:t>
      </w:r>
      <w:r w:rsidR="00C6526B" w:rsidRPr="00E40082">
        <w:rPr>
          <w:rFonts w:ascii="Tahoma" w:hAnsi="Tahoma" w:cs="Tahoma"/>
          <w:sz w:val="20"/>
          <w:szCs w:val="20"/>
        </w:rPr>
        <w:t>F</w:t>
      </w:r>
      <w:r w:rsidRPr="00E40082">
        <w:rPr>
          <w:rFonts w:ascii="Tahoma" w:hAnsi="Tahoma" w:cs="Tahoma"/>
          <w:sz w:val="20"/>
          <w:szCs w:val="20"/>
        </w:rPr>
        <w:t>ıkrası</w:t>
      </w:r>
      <w:r w:rsidR="00C6526B" w:rsidRPr="00E40082">
        <w:rPr>
          <w:rFonts w:ascii="Tahoma" w:hAnsi="Tahoma" w:cs="Tahoma"/>
          <w:sz w:val="20"/>
          <w:szCs w:val="20"/>
        </w:rPr>
        <w:t xml:space="preserve"> dikkate alınmıştır.</w:t>
      </w:r>
    </w:p>
    <w:p w14:paraId="687DDFFC" w14:textId="77777777" w:rsidR="00C6526B" w:rsidRPr="00E40082" w:rsidRDefault="00C6526B" w:rsidP="00BD2E57">
      <w:pPr>
        <w:spacing w:after="0"/>
        <w:jc w:val="both"/>
        <w:rPr>
          <w:rFonts w:ascii="Tahoma" w:hAnsi="Tahoma" w:cs="Tahoma"/>
          <w:bCs/>
          <w:iCs/>
          <w:sz w:val="20"/>
          <w:szCs w:val="20"/>
        </w:rPr>
      </w:pPr>
    </w:p>
    <w:p w14:paraId="66B6DDE1" w14:textId="77777777" w:rsidR="00161A08" w:rsidRPr="00E40082" w:rsidRDefault="00161A08" w:rsidP="00BD2E57">
      <w:pPr>
        <w:spacing w:after="0"/>
        <w:jc w:val="both"/>
        <w:rPr>
          <w:rFonts w:ascii="Tahoma" w:hAnsi="Tahoma" w:cs="Tahoma"/>
          <w:sz w:val="20"/>
          <w:szCs w:val="20"/>
        </w:rPr>
      </w:pPr>
    </w:p>
    <w:p w14:paraId="70F0D32C" w14:textId="77777777" w:rsidR="00161A08" w:rsidRPr="00E40082" w:rsidRDefault="00161A08" w:rsidP="00BD2E57">
      <w:pPr>
        <w:spacing w:after="0"/>
        <w:jc w:val="both"/>
        <w:rPr>
          <w:rFonts w:ascii="Tahoma" w:hAnsi="Tahoma" w:cs="Tahoma"/>
          <w:sz w:val="20"/>
          <w:szCs w:val="20"/>
        </w:rPr>
      </w:pPr>
    </w:p>
    <w:sectPr w:rsidR="00161A08" w:rsidRPr="00E40082">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9334" w14:textId="77777777" w:rsidR="001A7D98" w:rsidRDefault="001A7D98" w:rsidP="009559E3">
      <w:pPr>
        <w:spacing w:after="0" w:line="240" w:lineRule="auto"/>
      </w:pPr>
      <w:r>
        <w:separator/>
      </w:r>
    </w:p>
  </w:endnote>
  <w:endnote w:type="continuationSeparator" w:id="0">
    <w:p w14:paraId="3BF2B15C" w14:textId="77777777" w:rsidR="001A7D98" w:rsidRDefault="001A7D98" w:rsidP="0095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3284640"/>
      <w:docPartObj>
        <w:docPartGallery w:val="Page Numbers (Bottom of Page)"/>
        <w:docPartUnique/>
      </w:docPartObj>
    </w:sdtPr>
    <w:sdtContent>
      <w:p w14:paraId="4918180A" w14:textId="27D05062" w:rsidR="009559E3" w:rsidRDefault="009559E3">
        <w:pPr>
          <w:pStyle w:val="AltBilgi"/>
          <w:jc w:val="center"/>
        </w:pPr>
        <w:r>
          <w:fldChar w:fldCharType="begin"/>
        </w:r>
        <w:r>
          <w:instrText>PAGE   \* MERGEFORMAT</w:instrText>
        </w:r>
        <w:r>
          <w:fldChar w:fldCharType="separate"/>
        </w:r>
        <w:r>
          <w:t>2</w:t>
        </w:r>
        <w:r>
          <w:fldChar w:fldCharType="end"/>
        </w:r>
      </w:p>
    </w:sdtContent>
  </w:sdt>
  <w:p w14:paraId="6E0BED95" w14:textId="77777777" w:rsidR="009559E3" w:rsidRDefault="009559E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0B9A" w14:textId="77777777" w:rsidR="001A7D98" w:rsidRDefault="001A7D98" w:rsidP="009559E3">
      <w:pPr>
        <w:spacing w:after="0" w:line="240" w:lineRule="auto"/>
      </w:pPr>
      <w:r>
        <w:separator/>
      </w:r>
    </w:p>
  </w:footnote>
  <w:footnote w:type="continuationSeparator" w:id="0">
    <w:p w14:paraId="0D0AABD9" w14:textId="77777777" w:rsidR="001A7D98" w:rsidRDefault="001A7D98" w:rsidP="009559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DFC"/>
    <w:multiLevelType w:val="multilevel"/>
    <w:tmpl w:val="5D4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5E26EC"/>
    <w:multiLevelType w:val="multilevel"/>
    <w:tmpl w:val="D394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483198">
    <w:abstractNumId w:val="1"/>
  </w:num>
  <w:num w:numId="2" w16cid:durableId="50386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76"/>
    <w:rsid w:val="00007B83"/>
    <w:rsid w:val="00060361"/>
    <w:rsid w:val="00084AD5"/>
    <w:rsid w:val="00085B13"/>
    <w:rsid w:val="0009685D"/>
    <w:rsid w:val="000B24A2"/>
    <w:rsid w:val="000C02EC"/>
    <w:rsid w:val="000C23D5"/>
    <w:rsid w:val="00104C6A"/>
    <w:rsid w:val="0011471B"/>
    <w:rsid w:val="0013737F"/>
    <w:rsid w:val="00161A08"/>
    <w:rsid w:val="00190F81"/>
    <w:rsid w:val="001A7D98"/>
    <w:rsid w:val="001B5E1A"/>
    <w:rsid w:val="001F7224"/>
    <w:rsid w:val="00200977"/>
    <w:rsid w:val="00260AC6"/>
    <w:rsid w:val="00262B8F"/>
    <w:rsid w:val="00262E5F"/>
    <w:rsid w:val="002650EB"/>
    <w:rsid w:val="00267B15"/>
    <w:rsid w:val="002917F6"/>
    <w:rsid w:val="0029798C"/>
    <w:rsid w:val="002A6EB8"/>
    <w:rsid w:val="003271D8"/>
    <w:rsid w:val="003512D0"/>
    <w:rsid w:val="003634EE"/>
    <w:rsid w:val="003755AA"/>
    <w:rsid w:val="003846F6"/>
    <w:rsid w:val="003A6AD8"/>
    <w:rsid w:val="003A7410"/>
    <w:rsid w:val="003D2EB2"/>
    <w:rsid w:val="003E477E"/>
    <w:rsid w:val="00406863"/>
    <w:rsid w:val="00482666"/>
    <w:rsid w:val="00483D37"/>
    <w:rsid w:val="004A3B53"/>
    <w:rsid w:val="004C571B"/>
    <w:rsid w:val="004F7BEB"/>
    <w:rsid w:val="005015F5"/>
    <w:rsid w:val="0051107E"/>
    <w:rsid w:val="00552839"/>
    <w:rsid w:val="005574BE"/>
    <w:rsid w:val="005A3227"/>
    <w:rsid w:val="005B3BDC"/>
    <w:rsid w:val="005C38B1"/>
    <w:rsid w:val="005C3ECF"/>
    <w:rsid w:val="006601CC"/>
    <w:rsid w:val="00673E2D"/>
    <w:rsid w:val="00674AFA"/>
    <w:rsid w:val="006A18D7"/>
    <w:rsid w:val="006A2D93"/>
    <w:rsid w:val="006A765D"/>
    <w:rsid w:val="006B65FF"/>
    <w:rsid w:val="006E03BF"/>
    <w:rsid w:val="0072235A"/>
    <w:rsid w:val="007809E4"/>
    <w:rsid w:val="007C4DC7"/>
    <w:rsid w:val="00824966"/>
    <w:rsid w:val="00827986"/>
    <w:rsid w:val="0083750C"/>
    <w:rsid w:val="008718BC"/>
    <w:rsid w:val="00886017"/>
    <w:rsid w:val="008D1176"/>
    <w:rsid w:val="0090163D"/>
    <w:rsid w:val="009067F6"/>
    <w:rsid w:val="009227A4"/>
    <w:rsid w:val="009559E3"/>
    <w:rsid w:val="00957ECA"/>
    <w:rsid w:val="00960D62"/>
    <w:rsid w:val="009D642F"/>
    <w:rsid w:val="00A13F8D"/>
    <w:rsid w:val="00A22761"/>
    <w:rsid w:val="00A27D45"/>
    <w:rsid w:val="00A35C79"/>
    <w:rsid w:val="00A81285"/>
    <w:rsid w:val="00A90073"/>
    <w:rsid w:val="00A90A27"/>
    <w:rsid w:val="00A9367D"/>
    <w:rsid w:val="00AE5DA5"/>
    <w:rsid w:val="00B103A7"/>
    <w:rsid w:val="00B51AA9"/>
    <w:rsid w:val="00B538D9"/>
    <w:rsid w:val="00B7001B"/>
    <w:rsid w:val="00B862D6"/>
    <w:rsid w:val="00BA7C98"/>
    <w:rsid w:val="00BB5904"/>
    <w:rsid w:val="00BD2E57"/>
    <w:rsid w:val="00BE0498"/>
    <w:rsid w:val="00BE322A"/>
    <w:rsid w:val="00C07282"/>
    <w:rsid w:val="00C41A68"/>
    <w:rsid w:val="00C6526B"/>
    <w:rsid w:val="00C67DDD"/>
    <w:rsid w:val="00C717CD"/>
    <w:rsid w:val="00C71AFB"/>
    <w:rsid w:val="00C82168"/>
    <w:rsid w:val="00CC585A"/>
    <w:rsid w:val="00CE5CD3"/>
    <w:rsid w:val="00D069A2"/>
    <w:rsid w:val="00D07A72"/>
    <w:rsid w:val="00D81616"/>
    <w:rsid w:val="00DB5901"/>
    <w:rsid w:val="00DC0D93"/>
    <w:rsid w:val="00DE1E80"/>
    <w:rsid w:val="00DF07C3"/>
    <w:rsid w:val="00E006C9"/>
    <w:rsid w:val="00E40082"/>
    <w:rsid w:val="00E43857"/>
    <w:rsid w:val="00E50001"/>
    <w:rsid w:val="00E5735B"/>
    <w:rsid w:val="00E91284"/>
    <w:rsid w:val="00EB0D5D"/>
    <w:rsid w:val="00EF5A09"/>
    <w:rsid w:val="00F129B6"/>
    <w:rsid w:val="00F23ABA"/>
    <w:rsid w:val="00F30C1B"/>
    <w:rsid w:val="00F501C9"/>
    <w:rsid w:val="00F5201A"/>
    <w:rsid w:val="00F53B17"/>
    <w:rsid w:val="00F838A2"/>
    <w:rsid w:val="00FB0F77"/>
    <w:rsid w:val="00FC37E2"/>
    <w:rsid w:val="00FD16BB"/>
    <w:rsid w:val="00FD21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0D71"/>
  <w15:chartTrackingRefBased/>
  <w15:docId w15:val="{904EDB01-D627-4268-8074-ADF5392B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D1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aliases w:val="Başlık 2 Char Char,Başlık 2 Char1 Char,Başlık 2 Char1,Başlık 2 Char Char Char Char Char,Başlık 2 Char Char Char Char"/>
    <w:basedOn w:val="Normal"/>
    <w:next w:val="Normal"/>
    <w:link w:val="Balk2Char"/>
    <w:unhideWhenUsed/>
    <w:qFormat/>
    <w:rsid w:val="008D1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D117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D117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D117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D11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D11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D11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D11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1176"/>
    <w:rPr>
      <w:rFonts w:asciiTheme="majorHAnsi" w:eastAsiaTheme="majorEastAsia" w:hAnsiTheme="majorHAnsi" w:cstheme="majorBidi"/>
      <w:color w:val="0F4761" w:themeColor="accent1" w:themeShade="BF"/>
      <w:sz w:val="40"/>
      <w:szCs w:val="40"/>
    </w:rPr>
  </w:style>
  <w:style w:type="character" w:customStyle="1" w:styleId="Balk2Char">
    <w:name w:val="Başlık 2 Char"/>
    <w:aliases w:val="Başlık 2 Char Char Char,Başlık 2 Char1 Char Char,Başlık 2 Char1 Char1,Başlık 2 Char Char Char Char Char Char,Başlık 2 Char Char Char Char Char1"/>
    <w:basedOn w:val="VarsaylanParagrafYazTipi"/>
    <w:link w:val="Balk2"/>
    <w:rsid w:val="008D117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D117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D117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D117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D11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11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11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1176"/>
    <w:rPr>
      <w:rFonts w:eastAsiaTheme="majorEastAsia" w:cstheme="majorBidi"/>
      <w:color w:val="272727" w:themeColor="text1" w:themeTint="D8"/>
    </w:rPr>
  </w:style>
  <w:style w:type="paragraph" w:styleId="KonuBal">
    <w:name w:val="Title"/>
    <w:basedOn w:val="Normal"/>
    <w:next w:val="Normal"/>
    <w:link w:val="KonuBalChar"/>
    <w:qFormat/>
    <w:rsid w:val="008D1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8D11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11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D11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11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D1176"/>
    <w:rPr>
      <w:i/>
      <w:iCs/>
      <w:color w:val="404040" w:themeColor="text1" w:themeTint="BF"/>
    </w:rPr>
  </w:style>
  <w:style w:type="paragraph" w:styleId="ListeParagraf">
    <w:name w:val="List Paragraph"/>
    <w:basedOn w:val="Normal"/>
    <w:uiPriority w:val="34"/>
    <w:qFormat/>
    <w:rsid w:val="008D1176"/>
    <w:pPr>
      <w:ind w:left="720"/>
      <w:contextualSpacing/>
    </w:pPr>
  </w:style>
  <w:style w:type="character" w:styleId="GlVurgulama">
    <w:name w:val="Intense Emphasis"/>
    <w:basedOn w:val="VarsaylanParagrafYazTipi"/>
    <w:uiPriority w:val="21"/>
    <w:qFormat/>
    <w:rsid w:val="008D1176"/>
    <w:rPr>
      <w:i/>
      <w:iCs/>
      <w:color w:val="0F4761" w:themeColor="accent1" w:themeShade="BF"/>
    </w:rPr>
  </w:style>
  <w:style w:type="paragraph" w:styleId="GlAlnt">
    <w:name w:val="Intense Quote"/>
    <w:basedOn w:val="Normal"/>
    <w:next w:val="Normal"/>
    <w:link w:val="GlAlntChar"/>
    <w:uiPriority w:val="30"/>
    <w:qFormat/>
    <w:rsid w:val="008D1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D1176"/>
    <w:rPr>
      <w:i/>
      <w:iCs/>
      <w:color w:val="0F4761" w:themeColor="accent1" w:themeShade="BF"/>
    </w:rPr>
  </w:style>
  <w:style w:type="character" w:styleId="GlBavuru">
    <w:name w:val="Intense Reference"/>
    <w:basedOn w:val="VarsaylanParagrafYazTipi"/>
    <w:uiPriority w:val="32"/>
    <w:qFormat/>
    <w:rsid w:val="008D1176"/>
    <w:rPr>
      <w:b/>
      <w:bCs/>
      <w:smallCaps/>
      <w:color w:val="0F4761" w:themeColor="accent1" w:themeShade="BF"/>
      <w:spacing w:val="5"/>
    </w:rPr>
  </w:style>
  <w:style w:type="character" w:styleId="Kpr">
    <w:name w:val="Hyperlink"/>
    <w:basedOn w:val="VarsaylanParagrafYazTipi"/>
    <w:uiPriority w:val="99"/>
    <w:unhideWhenUsed/>
    <w:rsid w:val="008D1176"/>
    <w:rPr>
      <w:color w:val="467886" w:themeColor="hyperlink"/>
      <w:u w:val="single"/>
    </w:rPr>
  </w:style>
  <w:style w:type="character" w:styleId="zmlenmeyenBahsetme">
    <w:name w:val="Unresolved Mention"/>
    <w:basedOn w:val="VarsaylanParagrafYazTipi"/>
    <w:uiPriority w:val="99"/>
    <w:semiHidden/>
    <w:unhideWhenUsed/>
    <w:rsid w:val="008D1176"/>
    <w:rPr>
      <w:color w:val="605E5C"/>
      <w:shd w:val="clear" w:color="auto" w:fill="E1DFDD"/>
    </w:rPr>
  </w:style>
  <w:style w:type="paragraph" w:styleId="stBilgi">
    <w:name w:val="header"/>
    <w:basedOn w:val="Normal"/>
    <w:link w:val="stBilgiChar"/>
    <w:uiPriority w:val="99"/>
    <w:unhideWhenUsed/>
    <w:rsid w:val="009559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9E3"/>
  </w:style>
  <w:style w:type="paragraph" w:styleId="AltBilgi">
    <w:name w:val="footer"/>
    <w:basedOn w:val="Normal"/>
    <w:link w:val="AltBilgiChar"/>
    <w:uiPriority w:val="99"/>
    <w:unhideWhenUsed/>
    <w:rsid w:val="009559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9E3"/>
  </w:style>
  <w:style w:type="paragraph" w:styleId="NormalWeb">
    <w:name w:val="Normal (Web)"/>
    <w:basedOn w:val="Normal"/>
    <w:uiPriority w:val="99"/>
    <w:semiHidden/>
    <w:unhideWhenUsed/>
    <w:rsid w:val="00F23ABA"/>
    <w:rPr>
      <w:rFonts w:ascii="Times New Roman" w:hAnsi="Times New Roman" w:cs="Times New Roman"/>
    </w:rPr>
  </w:style>
  <w:style w:type="character" w:styleId="zlenenKpr">
    <w:name w:val="FollowedHyperlink"/>
    <w:basedOn w:val="VarsaylanParagrafYazTipi"/>
    <w:uiPriority w:val="99"/>
    <w:semiHidden/>
    <w:unhideWhenUsed/>
    <w:rsid w:val="00E400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1567&amp;MevzuatTur=1&amp;MevzuatTertip=3"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evzuat.gov.tr/mevzuat?MevzuatNo=5326&amp;MevzuatTur=1&amp;MevzuatTertip=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mb.gov.tr/wps/wcm/connect/d58bd2eb-b966-4765-a0cc-626c507449d8/Sermaye+Hareketleri+Genelgesi.pdf?MOD=AJPERES&amp;CACHEID=ROOTWORKSPACE-d58bd2eb-b966-4765-a0cc-626c507449d8-pS6N13z"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ms.hmb.gov.tr/uploads/2025/07/Turk-Parasi-Kiymetini-Koruma-Hakkinda-32-Sayili-Karara-Iliskin-Teblig-d2e065a8155e81e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s.hmb.gov.tr/uploads/2025/07/Turk-Parasi-Kiymetini-Koruma-Hakkinda-32-Sayili-Karar-dd7747872eb324d4.pdf"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C9492-C89C-4070-9EE7-08048CA6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9573</Characters>
  <Application>Microsoft Office Word</Application>
  <DocSecurity>0</DocSecurity>
  <Lines>140</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Egemen Tanrikulu</dc:creator>
  <cp:keywords/>
  <dc:description/>
  <cp:lastModifiedBy>Cennet Bebek</cp:lastModifiedBy>
  <cp:revision>2</cp:revision>
  <dcterms:created xsi:type="dcterms:W3CDTF">2026-05-08T10:31:00Z</dcterms:created>
  <dcterms:modified xsi:type="dcterms:W3CDTF">2026-05-08T10:31:00Z</dcterms:modified>
</cp:coreProperties>
</file>