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6D99E" w14:textId="4508574F" w:rsidR="008718BC" w:rsidRPr="00E40082" w:rsidRDefault="008718BC" w:rsidP="00BD2E57">
      <w:pPr>
        <w:jc w:val="both"/>
        <w:rPr>
          <w:rFonts w:ascii="Tahoma" w:hAnsi="Tahoma" w:cs="Tahoma"/>
          <w:b/>
          <w:bCs/>
          <w:sz w:val="20"/>
          <w:szCs w:val="20"/>
          <w:u w:val="single"/>
        </w:rPr>
      </w:pPr>
      <w:r w:rsidRPr="00E40082">
        <w:rPr>
          <w:rFonts w:ascii="Tahoma" w:hAnsi="Tahoma" w:cs="Tahoma"/>
          <w:b/>
          <w:bCs/>
          <w:sz w:val="20"/>
          <w:szCs w:val="20"/>
          <w:u w:val="single"/>
        </w:rPr>
        <w:t>DÖVİZ CİNSİNDEN BORÇ PARA ALIP VERMENİN VERGİSEL SONUÇLARI</w:t>
      </w:r>
      <w:r w:rsidR="005E792B">
        <w:rPr>
          <w:rFonts w:ascii="Tahoma" w:hAnsi="Tahoma" w:cs="Tahoma"/>
          <w:b/>
          <w:bCs/>
          <w:sz w:val="20"/>
          <w:szCs w:val="20"/>
          <w:u w:val="single"/>
        </w:rPr>
        <w:t xml:space="preserve"> (Devamı)</w:t>
      </w:r>
      <w:r w:rsidRPr="00E40082">
        <w:rPr>
          <w:rFonts w:ascii="Tahoma" w:hAnsi="Tahoma" w:cs="Tahoma"/>
          <w:b/>
          <w:bCs/>
          <w:sz w:val="20"/>
          <w:szCs w:val="20"/>
          <w:u w:val="single"/>
        </w:rPr>
        <w:t>:</w:t>
      </w:r>
    </w:p>
    <w:p w14:paraId="10C71156" w14:textId="199D473D" w:rsidR="00A9367D" w:rsidRPr="00E40082" w:rsidRDefault="000C23D5" w:rsidP="00BD2E57">
      <w:pPr>
        <w:spacing w:after="0"/>
        <w:jc w:val="both"/>
        <w:rPr>
          <w:rFonts w:ascii="Tahoma" w:hAnsi="Tahoma" w:cs="Tahoma"/>
          <w:b/>
          <w:bCs/>
          <w:sz w:val="20"/>
          <w:szCs w:val="20"/>
          <w:u w:val="single"/>
        </w:rPr>
      </w:pPr>
      <w:r w:rsidRPr="00E40082">
        <w:rPr>
          <w:rFonts w:ascii="Tahoma" w:hAnsi="Tahoma" w:cs="Tahoma"/>
          <w:b/>
          <w:bCs/>
          <w:sz w:val="20"/>
          <w:szCs w:val="20"/>
          <w:u w:val="single"/>
        </w:rPr>
        <w:t>5</w:t>
      </w:r>
      <w:r w:rsidR="00827986" w:rsidRPr="00E40082">
        <w:rPr>
          <w:rFonts w:ascii="Tahoma" w:hAnsi="Tahoma" w:cs="Tahoma"/>
          <w:b/>
          <w:bCs/>
          <w:sz w:val="20"/>
          <w:szCs w:val="20"/>
          <w:u w:val="single"/>
        </w:rPr>
        <w:t>.KONUYLA İLGİLİ VERGİ MEVZUATI:</w:t>
      </w:r>
    </w:p>
    <w:p w14:paraId="637CCF54" w14:textId="77777777" w:rsidR="00F23ABA" w:rsidRPr="00E40082" w:rsidRDefault="00F23ABA" w:rsidP="00BD2E57">
      <w:pPr>
        <w:spacing w:after="0"/>
        <w:jc w:val="both"/>
        <w:rPr>
          <w:rFonts w:ascii="Tahoma" w:hAnsi="Tahoma" w:cs="Tahoma"/>
          <w:b/>
          <w:bCs/>
          <w:sz w:val="20"/>
          <w:szCs w:val="20"/>
          <w:u w:val="single"/>
        </w:rPr>
      </w:pPr>
    </w:p>
    <w:p w14:paraId="4D267879" w14:textId="70020884" w:rsidR="00F23ABA" w:rsidRPr="00E40082" w:rsidRDefault="00C67DDD" w:rsidP="00BD2E57">
      <w:pPr>
        <w:spacing w:after="0"/>
        <w:jc w:val="both"/>
        <w:rPr>
          <w:rFonts w:ascii="Tahoma" w:hAnsi="Tahoma" w:cs="Tahoma"/>
          <w:sz w:val="20"/>
          <w:szCs w:val="20"/>
        </w:rPr>
      </w:pPr>
      <w:r w:rsidRPr="00E40082">
        <w:rPr>
          <w:rFonts w:ascii="Tahoma" w:hAnsi="Tahoma" w:cs="Tahoma"/>
          <w:sz w:val="20"/>
          <w:szCs w:val="20"/>
        </w:rPr>
        <w:t>Gelir Vergisi Kanunu’nun</w:t>
      </w:r>
      <w:r w:rsidR="00F23ABA" w:rsidRPr="00E40082">
        <w:rPr>
          <w:rFonts w:ascii="Tahoma" w:hAnsi="Tahoma" w:cs="Tahoma"/>
          <w:sz w:val="20"/>
          <w:szCs w:val="20"/>
        </w:rPr>
        <w:t xml:space="preserve"> kurumlar vergisi mükellefleri için de geçerli 40.</w:t>
      </w:r>
      <w:r w:rsidR="00C6526B" w:rsidRPr="00E40082">
        <w:rPr>
          <w:rFonts w:ascii="Tahoma" w:hAnsi="Tahoma" w:cs="Tahoma"/>
          <w:sz w:val="20"/>
          <w:szCs w:val="20"/>
        </w:rPr>
        <w:t>m</w:t>
      </w:r>
      <w:r w:rsidR="00F23ABA" w:rsidRPr="00E40082">
        <w:rPr>
          <w:rFonts w:ascii="Tahoma" w:hAnsi="Tahoma" w:cs="Tahoma"/>
          <w:sz w:val="20"/>
          <w:szCs w:val="20"/>
        </w:rPr>
        <w:t>addesinin 1.</w:t>
      </w:r>
      <w:r w:rsidR="00C6526B" w:rsidRPr="00E40082">
        <w:rPr>
          <w:rFonts w:ascii="Tahoma" w:hAnsi="Tahoma" w:cs="Tahoma"/>
          <w:sz w:val="20"/>
          <w:szCs w:val="20"/>
        </w:rPr>
        <w:t>f</w:t>
      </w:r>
      <w:r w:rsidR="00F23ABA" w:rsidRPr="00E40082">
        <w:rPr>
          <w:rFonts w:ascii="Tahoma" w:hAnsi="Tahoma" w:cs="Tahoma"/>
          <w:sz w:val="20"/>
          <w:szCs w:val="20"/>
        </w:rPr>
        <w:t xml:space="preserve">ıkrasının 1. </w:t>
      </w:r>
      <w:r w:rsidR="00C6526B" w:rsidRPr="00E40082">
        <w:rPr>
          <w:rFonts w:ascii="Tahoma" w:hAnsi="Tahoma" w:cs="Tahoma"/>
          <w:sz w:val="20"/>
          <w:szCs w:val="20"/>
        </w:rPr>
        <w:t>b</w:t>
      </w:r>
      <w:r w:rsidR="00F23ABA" w:rsidRPr="00E40082">
        <w:rPr>
          <w:rFonts w:ascii="Tahoma" w:hAnsi="Tahoma" w:cs="Tahoma"/>
          <w:sz w:val="20"/>
          <w:szCs w:val="20"/>
        </w:rPr>
        <w:t xml:space="preserve">endine göre; ticari kazancın elde edilmesi ve idame ettirilmesi için yapılan genel </w:t>
      </w:r>
      <w:r w:rsidRPr="00E40082">
        <w:rPr>
          <w:rFonts w:ascii="Tahoma" w:hAnsi="Tahoma" w:cs="Tahoma"/>
          <w:sz w:val="20"/>
          <w:szCs w:val="20"/>
        </w:rPr>
        <w:t>giderler kurum</w:t>
      </w:r>
      <w:r w:rsidR="00F23ABA" w:rsidRPr="00E40082">
        <w:rPr>
          <w:rFonts w:ascii="Tahoma" w:hAnsi="Tahoma" w:cs="Tahoma"/>
          <w:sz w:val="20"/>
          <w:szCs w:val="20"/>
        </w:rPr>
        <w:t xml:space="preserve"> kazancının tespitinde gider olarak dikkate alınabilecektir.  Gerçek </w:t>
      </w:r>
      <w:r w:rsidRPr="00E40082">
        <w:rPr>
          <w:rFonts w:ascii="Tahoma" w:hAnsi="Tahoma" w:cs="Tahoma"/>
          <w:sz w:val="20"/>
          <w:szCs w:val="20"/>
        </w:rPr>
        <w:t>ya da</w:t>
      </w:r>
      <w:r w:rsidR="00F23ABA" w:rsidRPr="00E40082">
        <w:rPr>
          <w:rFonts w:ascii="Tahoma" w:hAnsi="Tahoma" w:cs="Tahoma"/>
          <w:sz w:val="20"/>
          <w:szCs w:val="20"/>
        </w:rPr>
        <w:t xml:space="preserve"> tüzel kişilerden alına</w:t>
      </w:r>
      <w:r w:rsidR="00BA7C98" w:rsidRPr="00E40082">
        <w:rPr>
          <w:rFonts w:ascii="Tahoma" w:hAnsi="Tahoma" w:cs="Tahoma"/>
          <w:sz w:val="20"/>
          <w:szCs w:val="20"/>
        </w:rPr>
        <w:t>rak işletmede kullanılan</w:t>
      </w:r>
      <w:r w:rsidR="00F23ABA" w:rsidRPr="00E40082">
        <w:rPr>
          <w:rFonts w:ascii="Tahoma" w:hAnsi="Tahoma" w:cs="Tahoma"/>
          <w:sz w:val="20"/>
          <w:szCs w:val="20"/>
        </w:rPr>
        <w:t xml:space="preserve"> borçların kur farkları ve varsa faizleri   bu bent kapsamında gider kabul </w:t>
      </w:r>
      <w:r w:rsidR="000B24A2" w:rsidRPr="00E40082">
        <w:rPr>
          <w:rFonts w:ascii="Tahoma" w:hAnsi="Tahoma" w:cs="Tahoma"/>
          <w:sz w:val="20"/>
          <w:szCs w:val="20"/>
        </w:rPr>
        <w:t>edilmektedir.</w:t>
      </w:r>
    </w:p>
    <w:p w14:paraId="120C34FF" w14:textId="77777777" w:rsidR="000B24A2" w:rsidRPr="00E40082" w:rsidRDefault="000B24A2" w:rsidP="00BD2E57">
      <w:pPr>
        <w:spacing w:after="0"/>
        <w:jc w:val="both"/>
        <w:rPr>
          <w:rFonts w:ascii="Tahoma" w:hAnsi="Tahoma" w:cs="Tahoma"/>
          <w:sz w:val="20"/>
          <w:szCs w:val="20"/>
        </w:rPr>
      </w:pPr>
    </w:p>
    <w:p w14:paraId="0FBD1352" w14:textId="5E5274FB" w:rsidR="00F23ABA" w:rsidRPr="00E40082" w:rsidRDefault="00F23ABA" w:rsidP="00BD2E57">
      <w:pPr>
        <w:spacing w:after="0"/>
        <w:jc w:val="both"/>
        <w:rPr>
          <w:rFonts w:ascii="Tahoma" w:hAnsi="Tahoma" w:cs="Tahoma"/>
          <w:sz w:val="20"/>
          <w:szCs w:val="20"/>
        </w:rPr>
      </w:pPr>
      <w:r w:rsidRPr="00E40082">
        <w:rPr>
          <w:rFonts w:ascii="Tahoma" w:hAnsi="Tahoma" w:cs="Tahoma"/>
          <w:sz w:val="20"/>
          <w:szCs w:val="20"/>
        </w:rPr>
        <w:t xml:space="preserve">Kurumlar Vergisi </w:t>
      </w:r>
      <w:r w:rsidR="00C67DDD" w:rsidRPr="00E40082">
        <w:rPr>
          <w:rFonts w:ascii="Tahoma" w:hAnsi="Tahoma" w:cs="Tahoma"/>
          <w:sz w:val="20"/>
          <w:szCs w:val="20"/>
        </w:rPr>
        <w:t>Kanununun “</w:t>
      </w:r>
      <w:r w:rsidRPr="00E40082">
        <w:rPr>
          <w:rFonts w:ascii="Tahoma" w:hAnsi="Tahoma" w:cs="Tahoma"/>
          <w:sz w:val="20"/>
          <w:szCs w:val="20"/>
        </w:rPr>
        <w:t>Kabul Edilmeyen İndirimler” başlıklı 11.</w:t>
      </w:r>
      <w:r w:rsidR="000B24A2" w:rsidRPr="00E40082">
        <w:rPr>
          <w:rFonts w:ascii="Tahoma" w:hAnsi="Tahoma" w:cs="Tahoma"/>
          <w:sz w:val="20"/>
          <w:szCs w:val="20"/>
        </w:rPr>
        <w:t>m</w:t>
      </w:r>
      <w:r w:rsidRPr="00E40082">
        <w:rPr>
          <w:rFonts w:ascii="Tahoma" w:hAnsi="Tahoma" w:cs="Tahoma"/>
          <w:sz w:val="20"/>
          <w:szCs w:val="20"/>
        </w:rPr>
        <w:t xml:space="preserve">addesinin 1/b bendi uyarınca “örtülü sermaye üzerinden ödenen veya hesaplanan faiz, kur farkları ve benzeri giderler.” </w:t>
      </w:r>
      <w:r w:rsidR="00BA7C98" w:rsidRPr="00E40082">
        <w:rPr>
          <w:rFonts w:ascii="Tahoma" w:hAnsi="Tahoma" w:cs="Tahoma"/>
          <w:sz w:val="20"/>
          <w:szCs w:val="20"/>
        </w:rPr>
        <w:t>k</w:t>
      </w:r>
      <w:r w:rsidRPr="00E40082">
        <w:rPr>
          <w:rFonts w:ascii="Tahoma" w:hAnsi="Tahoma" w:cs="Tahoma"/>
          <w:sz w:val="20"/>
          <w:szCs w:val="20"/>
        </w:rPr>
        <w:t xml:space="preserve">urum kazancının </w:t>
      </w:r>
      <w:r w:rsidR="00C67DDD" w:rsidRPr="00E40082">
        <w:rPr>
          <w:rFonts w:ascii="Tahoma" w:hAnsi="Tahoma" w:cs="Tahoma"/>
          <w:sz w:val="20"/>
          <w:szCs w:val="20"/>
        </w:rPr>
        <w:t>tespitinde indirim</w:t>
      </w:r>
      <w:r w:rsidRPr="00E40082">
        <w:rPr>
          <w:rFonts w:ascii="Tahoma" w:hAnsi="Tahoma" w:cs="Tahoma"/>
          <w:sz w:val="20"/>
          <w:szCs w:val="20"/>
        </w:rPr>
        <w:t xml:space="preserve"> konusu yapılamamaktadır.</w:t>
      </w:r>
    </w:p>
    <w:p w14:paraId="3FA2FB91" w14:textId="77777777" w:rsidR="00F23ABA" w:rsidRPr="00E40082" w:rsidRDefault="00F23ABA" w:rsidP="00BD2E57">
      <w:pPr>
        <w:spacing w:after="0"/>
        <w:jc w:val="both"/>
        <w:rPr>
          <w:rFonts w:ascii="Tahoma" w:hAnsi="Tahoma" w:cs="Tahoma"/>
          <w:sz w:val="20"/>
          <w:szCs w:val="20"/>
        </w:rPr>
      </w:pPr>
    </w:p>
    <w:p w14:paraId="26228552" w14:textId="3FA52629" w:rsidR="00F23ABA" w:rsidRPr="00E40082" w:rsidRDefault="00F23ABA" w:rsidP="00BD2E57">
      <w:pPr>
        <w:spacing w:after="0"/>
        <w:jc w:val="both"/>
        <w:rPr>
          <w:rFonts w:ascii="Tahoma" w:hAnsi="Tahoma" w:cs="Tahoma"/>
          <w:sz w:val="20"/>
          <w:szCs w:val="20"/>
        </w:rPr>
      </w:pPr>
      <w:r w:rsidRPr="00E40082">
        <w:rPr>
          <w:rFonts w:ascii="Tahoma" w:hAnsi="Tahoma" w:cs="Tahoma"/>
          <w:sz w:val="20"/>
          <w:szCs w:val="20"/>
        </w:rPr>
        <w:t>Aynı Kanunun 12.</w:t>
      </w:r>
      <w:r w:rsidR="000B24A2" w:rsidRPr="00E40082">
        <w:rPr>
          <w:rFonts w:ascii="Tahoma" w:hAnsi="Tahoma" w:cs="Tahoma"/>
          <w:sz w:val="20"/>
          <w:szCs w:val="20"/>
        </w:rPr>
        <w:t>m</w:t>
      </w:r>
      <w:r w:rsidRPr="00E40082">
        <w:rPr>
          <w:rFonts w:ascii="Tahoma" w:hAnsi="Tahoma" w:cs="Tahoma"/>
          <w:sz w:val="20"/>
          <w:szCs w:val="20"/>
        </w:rPr>
        <w:t xml:space="preserve">addesinde örtülü sermaye tanımlanmış olup, ortaklar ve </w:t>
      </w:r>
      <w:r w:rsidR="000B24A2" w:rsidRPr="00E40082">
        <w:rPr>
          <w:rFonts w:ascii="Tahoma" w:hAnsi="Tahoma" w:cs="Tahoma"/>
          <w:sz w:val="20"/>
          <w:szCs w:val="20"/>
        </w:rPr>
        <w:t>m</w:t>
      </w:r>
      <w:r w:rsidRPr="00E40082">
        <w:rPr>
          <w:rFonts w:ascii="Tahoma" w:hAnsi="Tahoma" w:cs="Tahoma"/>
          <w:sz w:val="20"/>
          <w:szCs w:val="20"/>
        </w:rPr>
        <w:t>addede sayılan ilişkili kişilerden alınan borçların kurumun dönem başı özsermayesinin 3 katını aşan kısmı örtülü sermaye sayılmıştır. Ancak</w:t>
      </w:r>
      <w:r w:rsidR="000B24A2" w:rsidRPr="00E40082">
        <w:rPr>
          <w:rFonts w:ascii="Tahoma" w:hAnsi="Tahoma" w:cs="Tahoma"/>
          <w:sz w:val="20"/>
          <w:szCs w:val="20"/>
        </w:rPr>
        <w:t>;</w:t>
      </w:r>
      <w:r w:rsidRPr="00E40082">
        <w:rPr>
          <w:rFonts w:ascii="Tahoma" w:hAnsi="Tahoma" w:cs="Tahoma"/>
          <w:sz w:val="20"/>
          <w:szCs w:val="20"/>
        </w:rPr>
        <w:t xml:space="preserve"> </w:t>
      </w:r>
      <w:r w:rsidR="00482666" w:rsidRPr="00E40082">
        <w:rPr>
          <w:rFonts w:ascii="Tahoma" w:hAnsi="Tahoma" w:cs="Tahoma"/>
          <w:sz w:val="20"/>
          <w:szCs w:val="20"/>
        </w:rPr>
        <w:t>bu hesaplamada</w:t>
      </w:r>
      <w:r w:rsidR="000B24A2" w:rsidRPr="00E40082">
        <w:rPr>
          <w:rFonts w:ascii="Tahoma" w:hAnsi="Tahoma" w:cs="Tahoma"/>
          <w:sz w:val="20"/>
          <w:szCs w:val="20"/>
        </w:rPr>
        <w:t>,</w:t>
      </w:r>
      <w:r w:rsidR="00482666" w:rsidRPr="00E40082">
        <w:rPr>
          <w:rFonts w:ascii="Tahoma" w:hAnsi="Tahoma" w:cs="Tahoma"/>
          <w:sz w:val="20"/>
          <w:szCs w:val="20"/>
        </w:rPr>
        <w:t xml:space="preserve"> sadece ilişkili şirketlere finansman temin eden kredi şirketlerinden yapılan borçlanmalar hariç olmak üzere, ana faaliyet konusuna uygun olarak faaliyette bulunan ve ortak veya ortakla ilişkili kişi sayılan banka veya benzeri kredi kurumlarından yapılan borçlanmalar </w:t>
      </w:r>
      <w:proofErr w:type="gramStart"/>
      <w:r w:rsidR="00482666" w:rsidRPr="00E40082">
        <w:rPr>
          <w:rFonts w:ascii="Tahoma" w:hAnsi="Tahoma" w:cs="Tahoma"/>
          <w:sz w:val="20"/>
          <w:szCs w:val="20"/>
        </w:rPr>
        <w:t>% 50</w:t>
      </w:r>
      <w:proofErr w:type="gramEnd"/>
      <w:r w:rsidR="00482666" w:rsidRPr="00E40082">
        <w:rPr>
          <w:rFonts w:ascii="Tahoma" w:hAnsi="Tahoma" w:cs="Tahoma"/>
          <w:sz w:val="20"/>
          <w:szCs w:val="20"/>
        </w:rPr>
        <w:t xml:space="preserve"> oranında dikkate alınacaktır.</w:t>
      </w:r>
    </w:p>
    <w:p w14:paraId="5DF9F87E" w14:textId="77777777" w:rsidR="00482666" w:rsidRPr="00E40082" w:rsidRDefault="00482666" w:rsidP="00BD2E57">
      <w:pPr>
        <w:spacing w:after="0"/>
        <w:jc w:val="both"/>
        <w:rPr>
          <w:rFonts w:ascii="Tahoma" w:hAnsi="Tahoma" w:cs="Tahoma"/>
          <w:sz w:val="20"/>
          <w:szCs w:val="20"/>
        </w:rPr>
      </w:pPr>
    </w:p>
    <w:p w14:paraId="09D453AF" w14:textId="75961987" w:rsidR="00482666" w:rsidRPr="00E40082" w:rsidRDefault="000B24A2" w:rsidP="00BD2E57">
      <w:pPr>
        <w:spacing w:after="0"/>
        <w:jc w:val="both"/>
        <w:rPr>
          <w:rFonts w:ascii="Tahoma" w:hAnsi="Tahoma" w:cs="Tahoma"/>
          <w:sz w:val="20"/>
          <w:szCs w:val="20"/>
        </w:rPr>
      </w:pPr>
      <w:r w:rsidRPr="00E40082">
        <w:rPr>
          <w:rFonts w:ascii="Tahoma" w:hAnsi="Tahoma" w:cs="Tahoma"/>
          <w:sz w:val="20"/>
          <w:szCs w:val="20"/>
        </w:rPr>
        <w:t>A</w:t>
      </w:r>
      <w:r w:rsidR="00482666" w:rsidRPr="00E40082">
        <w:rPr>
          <w:rFonts w:ascii="Tahoma" w:hAnsi="Tahoma" w:cs="Tahoma"/>
          <w:sz w:val="20"/>
          <w:szCs w:val="20"/>
        </w:rPr>
        <w:t xml:space="preserve">ynı Kanunun 11/1-b </w:t>
      </w:r>
      <w:r w:rsidRPr="00E40082">
        <w:rPr>
          <w:rFonts w:ascii="Tahoma" w:hAnsi="Tahoma" w:cs="Tahoma"/>
          <w:sz w:val="20"/>
          <w:szCs w:val="20"/>
        </w:rPr>
        <w:t>m</w:t>
      </w:r>
      <w:r w:rsidR="00482666" w:rsidRPr="00E40082">
        <w:rPr>
          <w:rFonts w:ascii="Tahoma" w:hAnsi="Tahoma" w:cs="Tahoma"/>
          <w:sz w:val="20"/>
          <w:szCs w:val="20"/>
        </w:rPr>
        <w:t xml:space="preserve">addesi </w:t>
      </w:r>
      <w:r w:rsidR="00C67DDD" w:rsidRPr="00E40082">
        <w:rPr>
          <w:rFonts w:ascii="Tahoma" w:hAnsi="Tahoma" w:cs="Tahoma"/>
          <w:sz w:val="20"/>
          <w:szCs w:val="20"/>
        </w:rPr>
        <w:t>uyarınca; yabancı</w:t>
      </w:r>
      <w:r w:rsidR="00482666" w:rsidRPr="00E40082">
        <w:rPr>
          <w:rFonts w:ascii="Tahoma" w:hAnsi="Tahoma" w:cs="Tahoma"/>
          <w:sz w:val="20"/>
          <w:szCs w:val="20"/>
        </w:rPr>
        <w:t xml:space="preserve"> kaynakları özkaynaklarını aşan kurumların kullandıkları yabancı kaynakları</w:t>
      </w:r>
      <w:r w:rsidR="00BA7C98" w:rsidRPr="00E40082">
        <w:rPr>
          <w:rFonts w:ascii="Tahoma" w:hAnsi="Tahoma" w:cs="Tahoma"/>
          <w:sz w:val="20"/>
          <w:szCs w:val="20"/>
        </w:rPr>
        <w:t>n</w:t>
      </w:r>
      <w:r w:rsidR="00482666" w:rsidRPr="00E40082">
        <w:rPr>
          <w:rFonts w:ascii="Tahoma" w:hAnsi="Tahoma" w:cs="Tahoma"/>
          <w:sz w:val="20"/>
          <w:szCs w:val="20"/>
        </w:rPr>
        <w:t xml:space="preserve"> öz kaynaklarını aşan kısmına münhasır olmak üzere, (yatırımın maliyetine eklenenler hariç) işletmede kullanılan yabancı kaynaklara ilişkin faiz, komisyon, vade farkı, kâr payı, kur farkı ve benzeri adlar altında yapılan gider ve maliyet unsurları toplamının %10 u kurum kazancının tespitinde kanunen kabul edilmeyen gider olarak değerlendirilecektir.</w:t>
      </w:r>
    </w:p>
    <w:p w14:paraId="31AE561E" w14:textId="77777777" w:rsidR="00482666" w:rsidRPr="00E40082" w:rsidRDefault="00482666" w:rsidP="00BD2E57">
      <w:pPr>
        <w:spacing w:after="0"/>
        <w:jc w:val="both"/>
        <w:rPr>
          <w:rFonts w:ascii="Tahoma" w:hAnsi="Tahoma" w:cs="Tahoma"/>
          <w:sz w:val="20"/>
          <w:szCs w:val="20"/>
        </w:rPr>
      </w:pPr>
    </w:p>
    <w:p w14:paraId="66BAEB96" w14:textId="7BC81326" w:rsidR="00A13F8D" w:rsidRPr="00E40082" w:rsidRDefault="00482666" w:rsidP="00BD2E57">
      <w:pPr>
        <w:spacing w:after="0"/>
        <w:jc w:val="both"/>
        <w:rPr>
          <w:rFonts w:ascii="Tahoma" w:hAnsi="Tahoma" w:cs="Tahoma"/>
          <w:b/>
          <w:bCs/>
          <w:sz w:val="20"/>
          <w:szCs w:val="20"/>
          <w:u w:val="single"/>
        </w:rPr>
      </w:pPr>
      <w:r w:rsidRPr="00E40082">
        <w:rPr>
          <w:rFonts w:ascii="Tahoma" w:hAnsi="Tahoma" w:cs="Tahoma"/>
          <w:sz w:val="20"/>
          <w:szCs w:val="20"/>
        </w:rPr>
        <w:t xml:space="preserve">Görüldüğü </w:t>
      </w:r>
      <w:r w:rsidR="00C67DDD" w:rsidRPr="00E40082">
        <w:rPr>
          <w:rFonts w:ascii="Tahoma" w:hAnsi="Tahoma" w:cs="Tahoma"/>
          <w:sz w:val="20"/>
          <w:szCs w:val="20"/>
        </w:rPr>
        <w:t>gibi; kurumların dövizle</w:t>
      </w:r>
      <w:r w:rsidRPr="00E40082">
        <w:rPr>
          <w:rFonts w:ascii="Tahoma" w:hAnsi="Tahoma" w:cs="Tahoma"/>
          <w:sz w:val="20"/>
          <w:szCs w:val="20"/>
        </w:rPr>
        <w:t xml:space="preserve"> </w:t>
      </w:r>
      <w:r w:rsidR="00C67DDD" w:rsidRPr="00E40082">
        <w:rPr>
          <w:rFonts w:ascii="Tahoma" w:hAnsi="Tahoma" w:cs="Tahoma"/>
          <w:sz w:val="20"/>
          <w:szCs w:val="20"/>
        </w:rPr>
        <w:t>borçlanmalarında örtülü</w:t>
      </w:r>
      <w:r w:rsidRPr="00E40082">
        <w:rPr>
          <w:rFonts w:ascii="Tahoma" w:hAnsi="Tahoma" w:cs="Tahoma"/>
          <w:sz w:val="20"/>
          <w:szCs w:val="20"/>
        </w:rPr>
        <w:t xml:space="preserve"> sermaye </w:t>
      </w:r>
      <w:r w:rsidR="00C67DDD" w:rsidRPr="00E40082">
        <w:rPr>
          <w:rFonts w:ascii="Tahoma" w:hAnsi="Tahoma" w:cs="Tahoma"/>
          <w:sz w:val="20"/>
          <w:szCs w:val="20"/>
        </w:rPr>
        <w:t>ve yabancı</w:t>
      </w:r>
      <w:r w:rsidRPr="00E40082">
        <w:rPr>
          <w:rFonts w:ascii="Tahoma" w:hAnsi="Tahoma" w:cs="Tahoma"/>
          <w:sz w:val="20"/>
          <w:szCs w:val="20"/>
        </w:rPr>
        <w:t xml:space="preserve"> kaynak gider kısıtlaması kapsamına giren kur farkları hariç olmak üzere, işletmede kullanılan dövizli borçlara ait kur farklarının gider kaydına </w:t>
      </w:r>
      <w:r w:rsidR="000B24A2" w:rsidRPr="00E40082">
        <w:rPr>
          <w:rFonts w:ascii="Tahoma" w:hAnsi="Tahoma" w:cs="Tahoma"/>
          <w:sz w:val="20"/>
          <w:szCs w:val="20"/>
        </w:rPr>
        <w:t>engel olacak bir düzenleme</w:t>
      </w:r>
      <w:r w:rsidRPr="00E40082">
        <w:rPr>
          <w:rFonts w:ascii="Tahoma" w:hAnsi="Tahoma" w:cs="Tahoma"/>
          <w:sz w:val="20"/>
          <w:szCs w:val="20"/>
        </w:rPr>
        <w:t xml:space="preserve"> vergi kanunlarımızda bulunmamaktadır.</w:t>
      </w:r>
    </w:p>
    <w:p w14:paraId="34E26005" w14:textId="77777777" w:rsidR="00827986" w:rsidRPr="00E40082" w:rsidRDefault="00827986" w:rsidP="00BD2E57">
      <w:pPr>
        <w:spacing w:after="0"/>
        <w:jc w:val="both"/>
        <w:rPr>
          <w:rFonts w:ascii="Tahoma" w:hAnsi="Tahoma" w:cs="Tahoma"/>
          <w:b/>
          <w:bCs/>
          <w:sz w:val="20"/>
          <w:szCs w:val="20"/>
          <w:u w:val="single"/>
        </w:rPr>
      </w:pPr>
    </w:p>
    <w:p w14:paraId="3A52F4BD" w14:textId="654D3D36" w:rsidR="00827986" w:rsidRPr="00E40082" w:rsidRDefault="000C23D5" w:rsidP="00BD2E57">
      <w:pPr>
        <w:spacing w:after="0"/>
        <w:jc w:val="both"/>
        <w:rPr>
          <w:rFonts w:ascii="Tahoma" w:hAnsi="Tahoma" w:cs="Tahoma"/>
          <w:b/>
          <w:bCs/>
          <w:sz w:val="20"/>
          <w:szCs w:val="20"/>
          <w:u w:val="single"/>
        </w:rPr>
      </w:pPr>
      <w:r w:rsidRPr="00E40082">
        <w:rPr>
          <w:rFonts w:ascii="Tahoma" w:hAnsi="Tahoma" w:cs="Tahoma"/>
          <w:b/>
          <w:bCs/>
          <w:sz w:val="20"/>
          <w:szCs w:val="20"/>
          <w:u w:val="single"/>
        </w:rPr>
        <w:t>6</w:t>
      </w:r>
      <w:r w:rsidR="00827986" w:rsidRPr="00E40082">
        <w:rPr>
          <w:rFonts w:ascii="Tahoma" w:hAnsi="Tahoma" w:cs="Tahoma"/>
          <w:b/>
          <w:bCs/>
          <w:sz w:val="20"/>
          <w:szCs w:val="20"/>
          <w:u w:val="single"/>
        </w:rPr>
        <w:t>.DEĞERLENDİRME:</w:t>
      </w:r>
    </w:p>
    <w:p w14:paraId="434AE335" w14:textId="77777777" w:rsidR="003271D8" w:rsidRPr="00E40082" w:rsidRDefault="003271D8" w:rsidP="00BD2E57">
      <w:pPr>
        <w:spacing w:after="0"/>
        <w:jc w:val="both"/>
        <w:rPr>
          <w:rFonts w:ascii="Tahoma" w:hAnsi="Tahoma" w:cs="Tahoma"/>
          <w:b/>
          <w:bCs/>
          <w:sz w:val="20"/>
          <w:szCs w:val="20"/>
          <w:u w:val="single"/>
        </w:rPr>
      </w:pPr>
    </w:p>
    <w:p w14:paraId="04ABAF9A" w14:textId="72F70F30" w:rsidR="003271D8" w:rsidRPr="00E40082" w:rsidRDefault="00BA7C98" w:rsidP="00BD2E57">
      <w:pPr>
        <w:spacing w:after="0"/>
        <w:jc w:val="both"/>
        <w:rPr>
          <w:rFonts w:ascii="Tahoma" w:hAnsi="Tahoma" w:cs="Tahoma"/>
          <w:sz w:val="20"/>
          <w:szCs w:val="20"/>
        </w:rPr>
      </w:pPr>
      <w:r w:rsidRPr="00E40082">
        <w:rPr>
          <w:rFonts w:ascii="Tahoma" w:hAnsi="Tahoma" w:cs="Tahoma"/>
          <w:sz w:val="20"/>
          <w:szCs w:val="20"/>
        </w:rPr>
        <w:t xml:space="preserve">Bir önceki bölümde belirttiğimiz </w:t>
      </w:r>
      <w:r w:rsidR="00C67DDD" w:rsidRPr="00E40082">
        <w:rPr>
          <w:rFonts w:ascii="Tahoma" w:hAnsi="Tahoma" w:cs="Tahoma"/>
          <w:sz w:val="20"/>
          <w:szCs w:val="20"/>
        </w:rPr>
        <w:t>üzere; vergi</w:t>
      </w:r>
      <w:r w:rsidR="003271D8" w:rsidRPr="00E40082">
        <w:rPr>
          <w:rFonts w:ascii="Tahoma" w:hAnsi="Tahoma" w:cs="Tahoma"/>
          <w:sz w:val="20"/>
          <w:szCs w:val="20"/>
        </w:rPr>
        <w:t xml:space="preserve"> </w:t>
      </w:r>
      <w:proofErr w:type="gramStart"/>
      <w:r w:rsidR="00007B83" w:rsidRPr="00E40082">
        <w:rPr>
          <w:rFonts w:ascii="Tahoma" w:hAnsi="Tahoma" w:cs="Tahoma"/>
          <w:sz w:val="20"/>
          <w:szCs w:val="20"/>
        </w:rPr>
        <w:t>k</w:t>
      </w:r>
      <w:r w:rsidR="003271D8" w:rsidRPr="00E40082">
        <w:rPr>
          <w:rFonts w:ascii="Tahoma" w:hAnsi="Tahoma" w:cs="Tahoma"/>
          <w:sz w:val="20"/>
          <w:szCs w:val="20"/>
        </w:rPr>
        <w:t>anunlarımızda;</w:t>
      </w:r>
      <w:proofErr w:type="gramEnd"/>
      <w:r w:rsidR="003271D8" w:rsidRPr="00E40082">
        <w:rPr>
          <w:rFonts w:ascii="Tahoma" w:hAnsi="Tahoma" w:cs="Tahoma"/>
          <w:sz w:val="20"/>
          <w:szCs w:val="20"/>
        </w:rPr>
        <w:t xml:space="preserve"> örtülü sermaye ve yabancı kaynak gider kısıtlaması kapsamına </w:t>
      </w:r>
      <w:proofErr w:type="gramStart"/>
      <w:r w:rsidR="003271D8" w:rsidRPr="00E40082">
        <w:rPr>
          <w:rFonts w:ascii="Tahoma" w:hAnsi="Tahoma" w:cs="Tahoma"/>
          <w:sz w:val="20"/>
          <w:szCs w:val="20"/>
        </w:rPr>
        <w:t>giren  borçlanmalarla</w:t>
      </w:r>
      <w:proofErr w:type="gramEnd"/>
      <w:r w:rsidR="003271D8" w:rsidRPr="00E40082">
        <w:rPr>
          <w:rFonts w:ascii="Tahoma" w:hAnsi="Tahoma" w:cs="Tahoma"/>
          <w:sz w:val="20"/>
          <w:szCs w:val="20"/>
        </w:rPr>
        <w:t xml:space="preserve"> ilgili kur farkları </w:t>
      </w:r>
      <w:proofErr w:type="gramStart"/>
      <w:r w:rsidR="003271D8" w:rsidRPr="00E40082">
        <w:rPr>
          <w:rFonts w:ascii="Tahoma" w:hAnsi="Tahoma" w:cs="Tahoma"/>
          <w:sz w:val="20"/>
          <w:szCs w:val="20"/>
        </w:rPr>
        <w:t>hariç,  işletmede</w:t>
      </w:r>
      <w:proofErr w:type="gramEnd"/>
      <w:r w:rsidR="003271D8" w:rsidRPr="00E40082">
        <w:rPr>
          <w:rFonts w:ascii="Tahoma" w:hAnsi="Tahoma" w:cs="Tahoma"/>
          <w:sz w:val="20"/>
          <w:szCs w:val="20"/>
        </w:rPr>
        <w:t xml:space="preserve"> kullanılan borçlar nedeniyle ödenen kur farklarının gider yazılmasına engel bir durum bulunmamaktadır.</w:t>
      </w:r>
      <w:r w:rsidR="00007B83" w:rsidRPr="00E40082">
        <w:rPr>
          <w:rFonts w:ascii="Tahoma" w:hAnsi="Tahoma" w:cs="Tahoma"/>
          <w:sz w:val="20"/>
          <w:szCs w:val="20"/>
        </w:rPr>
        <w:t xml:space="preserve"> </w:t>
      </w:r>
    </w:p>
    <w:p w14:paraId="1A7499D9" w14:textId="77777777" w:rsidR="003271D8" w:rsidRPr="00E40082" w:rsidRDefault="003271D8" w:rsidP="00BD2E57">
      <w:pPr>
        <w:spacing w:after="0"/>
        <w:jc w:val="both"/>
        <w:rPr>
          <w:rFonts w:ascii="Tahoma" w:hAnsi="Tahoma" w:cs="Tahoma"/>
          <w:sz w:val="20"/>
          <w:szCs w:val="20"/>
        </w:rPr>
      </w:pPr>
    </w:p>
    <w:p w14:paraId="544D5A9F" w14:textId="6CE31207" w:rsidR="003271D8" w:rsidRPr="00E40082" w:rsidRDefault="003271D8" w:rsidP="00BD2E57">
      <w:pPr>
        <w:spacing w:after="0"/>
        <w:jc w:val="both"/>
        <w:rPr>
          <w:rFonts w:ascii="Tahoma" w:eastAsia="Times New Roman" w:hAnsi="Tahoma" w:cs="Tahoma"/>
          <w:sz w:val="20"/>
          <w:szCs w:val="20"/>
          <w:lang w:eastAsia="tr-TR"/>
        </w:rPr>
      </w:pPr>
      <w:r w:rsidRPr="00E40082">
        <w:rPr>
          <w:rFonts w:ascii="Tahoma" w:hAnsi="Tahoma" w:cs="Tahoma"/>
          <w:sz w:val="20"/>
          <w:szCs w:val="20"/>
        </w:rPr>
        <w:t xml:space="preserve">Kambiyo mevzuatına </w:t>
      </w:r>
      <w:r w:rsidR="00C67DDD" w:rsidRPr="00E40082">
        <w:rPr>
          <w:rFonts w:ascii="Tahoma" w:hAnsi="Tahoma" w:cs="Tahoma"/>
          <w:sz w:val="20"/>
          <w:szCs w:val="20"/>
        </w:rPr>
        <w:t>bakıldığında; dövizli</w:t>
      </w:r>
      <w:r w:rsidRPr="00E40082">
        <w:rPr>
          <w:rFonts w:ascii="Tahoma" w:hAnsi="Tahoma" w:cs="Tahoma"/>
          <w:sz w:val="20"/>
          <w:szCs w:val="20"/>
        </w:rPr>
        <w:t xml:space="preserve"> </w:t>
      </w:r>
      <w:proofErr w:type="gramStart"/>
      <w:r w:rsidRPr="00E40082">
        <w:rPr>
          <w:rFonts w:ascii="Tahoma" w:hAnsi="Tahoma" w:cs="Tahoma"/>
          <w:sz w:val="20"/>
          <w:szCs w:val="20"/>
        </w:rPr>
        <w:t>borçlanma</w:t>
      </w:r>
      <w:r w:rsidR="00AE5DA5" w:rsidRPr="00E40082">
        <w:rPr>
          <w:rFonts w:ascii="Tahoma" w:hAnsi="Tahoma" w:cs="Tahoma"/>
          <w:sz w:val="20"/>
          <w:szCs w:val="20"/>
        </w:rPr>
        <w:t>lara</w:t>
      </w:r>
      <w:r w:rsidR="00BA7C98" w:rsidRPr="00E40082">
        <w:rPr>
          <w:rFonts w:ascii="Tahoma" w:hAnsi="Tahoma" w:cs="Tahoma"/>
          <w:sz w:val="20"/>
          <w:szCs w:val="20"/>
        </w:rPr>
        <w:t>,</w:t>
      </w:r>
      <w:r w:rsidRPr="00E40082">
        <w:rPr>
          <w:rFonts w:ascii="Tahoma" w:hAnsi="Tahoma" w:cs="Tahoma"/>
          <w:sz w:val="20"/>
          <w:szCs w:val="20"/>
        </w:rPr>
        <w:t xml:space="preserve">  </w:t>
      </w:r>
      <w:r w:rsidR="000B24A2" w:rsidRPr="00E40082">
        <w:rPr>
          <w:rFonts w:ascii="Tahoma" w:hAnsi="Tahoma" w:cs="Tahoma"/>
          <w:sz w:val="20"/>
          <w:szCs w:val="20"/>
        </w:rPr>
        <w:t>(</w:t>
      </w:r>
      <w:proofErr w:type="gramEnd"/>
      <w:r w:rsidRPr="00E40082">
        <w:rPr>
          <w:rFonts w:ascii="Tahoma" w:hAnsi="Tahoma" w:cs="Tahoma"/>
          <w:sz w:val="20"/>
          <w:szCs w:val="20"/>
        </w:rPr>
        <w:t>bankalar ve finansal kurumlar</w:t>
      </w:r>
      <w:r w:rsidR="000B24A2" w:rsidRPr="00E40082">
        <w:rPr>
          <w:rFonts w:ascii="Tahoma" w:hAnsi="Tahoma" w:cs="Tahoma"/>
          <w:sz w:val="20"/>
          <w:szCs w:val="20"/>
        </w:rPr>
        <w:t>dan yapılanlar hariç)</w:t>
      </w:r>
      <w:r w:rsidRPr="00E40082">
        <w:rPr>
          <w:rFonts w:ascii="Tahoma" w:hAnsi="Tahoma" w:cs="Tahoma"/>
          <w:sz w:val="20"/>
          <w:szCs w:val="20"/>
        </w:rPr>
        <w:t xml:space="preserve"> izin verilmediğini görüyoruz. </w:t>
      </w:r>
      <w:r w:rsidR="007C4DC7" w:rsidRPr="00E40082">
        <w:rPr>
          <w:rFonts w:ascii="Tahoma" w:hAnsi="Tahoma" w:cs="Tahoma"/>
          <w:sz w:val="20"/>
          <w:szCs w:val="20"/>
        </w:rPr>
        <w:t>Bu düzenlemelere uyulmaksızın</w:t>
      </w:r>
      <w:r w:rsidRPr="00E40082">
        <w:rPr>
          <w:rFonts w:ascii="Tahoma" w:hAnsi="Tahoma" w:cs="Tahoma"/>
          <w:sz w:val="20"/>
          <w:szCs w:val="20"/>
        </w:rPr>
        <w:t xml:space="preserve"> yapılan işlemlerin müeyyidesi ise Kabahatler Kanununa göre idari para cezasıdır. Dövizle borç para verme yasağına uyulmaması suç değil kabahat olarak görülmüş,</w:t>
      </w:r>
      <w:r w:rsidR="009227A4" w:rsidRPr="00E40082">
        <w:rPr>
          <w:rFonts w:ascii="Tahoma" w:hAnsi="Tahoma" w:cs="Tahoma"/>
          <w:sz w:val="20"/>
          <w:szCs w:val="20"/>
        </w:rPr>
        <w:t xml:space="preserve"> müeyyide olarak sadece idari para cezası </w:t>
      </w:r>
      <w:r w:rsidR="00C6526B" w:rsidRPr="00E40082">
        <w:rPr>
          <w:rFonts w:ascii="Tahoma" w:hAnsi="Tahoma" w:cs="Tahoma"/>
          <w:sz w:val="20"/>
          <w:szCs w:val="20"/>
        </w:rPr>
        <w:t xml:space="preserve">getirilmiş </w:t>
      </w:r>
      <w:r w:rsidR="005B3BDC" w:rsidRPr="00E40082">
        <w:rPr>
          <w:rFonts w:ascii="Tahoma" w:hAnsi="Tahoma" w:cs="Tahoma"/>
          <w:sz w:val="20"/>
          <w:szCs w:val="20"/>
        </w:rPr>
        <w:t>olup bu</w:t>
      </w:r>
      <w:r w:rsidR="00BA7C98" w:rsidRPr="00E40082">
        <w:rPr>
          <w:rFonts w:ascii="Tahoma" w:hAnsi="Tahoma" w:cs="Tahoma"/>
          <w:sz w:val="20"/>
          <w:szCs w:val="20"/>
        </w:rPr>
        <w:t xml:space="preserve"> fiil, </w:t>
      </w:r>
      <w:r w:rsidRPr="00E40082">
        <w:rPr>
          <w:rFonts w:ascii="Tahoma" w:hAnsi="Tahoma" w:cs="Tahoma"/>
          <w:sz w:val="20"/>
          <w:szCs w:val="20"/>
        </w:rPr>
        <w:t>hapis cezası, elde edilen kazancın müsaderesi</w:t>
      </w:r>
      <w:r w:rsidR="00AE5DA5" w:rsidRPr="00E40082">
        <w:rPr>
          <w:rFonts w:ascii="Tahoma" w:hAnsi="Tahoma" w:cs="Tahoma"/>
          <w:sz w:val="20"/>
          <w:szCs w:val="20"/>
        </w:rPr>
        <w:t xml:space="preserve"> ve</w:t>
      </w:r>
      <w:r w:rsidRPr="00E40082">
        <w:rPr>
          <w:rFonts w:ascii="Tahoma" w:hAnsi="Tahoma" w:cs="Tahoma"/>
          <w:sz w:val="20"/>
          <w:szCs w:val="20"/>
        </w:rPr>
        <w:t xml:space="preserve"> adli para cezası kapsamına alınmamıştır. </w:t>
      </w:r>
      <w:r w:rsidR="005B3BDC" w:rsidRPr="00E40082">
        <w:rPr>
          <w:rFonts w:ascii="Tahoma" w:hAnsi="Tahoma" w:cs="Tahoma"/>
          <w:sz w:val="20"/>
          <w:szCs w:val="20"/>
        </w:rPr>
        <w:t>(6361</w:t>
      </w:r>
      <w:r w:rsidRPr="00E40082">
        <w:rPr>
          <w:rFonts w:ascii="Tahoma" w:hAnsi="Tahoma" w:cs="Tahoma"/>
          <w:sz w:val="20"/>
          <w:szCs w:val="20"/>
        </w:rPr>
        <w:t xml:space="preserve"> sayılı </w:t>
      </w:r>
      <w:r w:rsidR="00DF07C3" w:rsidRPr="00E40082">
        <w:rPr>
          <w:rFonts w:ascii="Tahoma" w:eastAsia="Times New Roman" w:hAnsi="Tahoma" w:cs="Tahoma"/>
          <w:sz w:val="20"/>
          <w:szCs w:val="20"/>
          <w:lang w:eastAsia="tr-TR"/>
        </w:rPr>
        <w:t xml:space="preserve">Finansal Kiralama, Faktoring </w:t>
      </w:r>
      <w:proofErr w:type="gramStart"/>
      <w:r w:rsidR="00DF07C3" w:rsidRPr="00E40082">
        <w:rPr>
          <w:rFonts w:ascii="Tahoma" w:eastAsia="Times New Roman" w:hAnsi="Tahoma" w:cs="Tahoma"/>
          <w:sz w:val="20"/>
          <w:szCs w:val="20"/>
          <w:lang w:eastAsia="tr-TR"/>
        </w:rPr>
        <w:t>Ve</w:t>
      </w:r>
      <w:proofErr w:type="gramEnd"/>
      <w:r w:rsidR="00DF07C3" w:rsidRPr="00E40082">
        <w:rPr>
          <w:rFonts w:ascii="Tahoma" w:eastAsia="Times New Roman" w:hAnsi="Tahoma" w:cs="Tahoma"/>
          <w:sz w:val="20"/>
          <w:szCs w:val="20"/>
          <w:lang w:eastAsia="tr-TR"/>
        </w:rPr>
        <w:t xml:space="preserve"> </w:t>
      </w:r>
      <w:proofErr w:type="gramStart"/>
      <w:r w:rsidR="00DF07C3" w:rsidRPr="00E40082">
        <w:rPr>
          <w:rFonts w:ascii="Tahoma" w:eastAsia="Times New Roman" w:hAnsi="Tahoma" w:cs="Tahoma"/>
          <w:sz w:val="20"/>
          <w:szCs w:val="20"/>
          <w:lang w:eastAsia="tr-TR"/>
        </w:rPr>
        <w:t>Finansman  Şirketleri</w:t>
      </w:r>
      <w:proofErr w:type="gramEnd"/>
      <w:r w:rsidR="00DF07C3" w:rsidRPr="00E40082">
        <w:rPr>
          <w:rFonts w:ascii="Tahoma" w:eastAsia="Times New Roman" w:hAnsi="Tahoma" w:cs="Tahoma"/>
          <w:sz w:val="20"/>
          <w:szCs w:val="20"/>
          <w:lang w:eastAsia="tr-TR"/>
        </w:rPr>
        <w:t xml:space="preserve"> Kanunu ve 5411 sayılı Bankacılık Kanununun ihlal edildiği durumlarda </w:t>
      </w:r>
      <w:proofErr w:type="gramStart"/>
      <w:r w:rsidR="00DF07C3" w:rsidRPr="00E40082">
        <w:rPr>
          <w:rFonts w:ascii="Tahoma" w:eastAsia="Times New Roman" w:hAnsi="Tahoma" w:cs="Tahoma"/>
          <w:sz w:val="20"/>
          <w:szCs w:val="20"/>
          <w:lang w:eastAsia="tr-TR"/>
        </w:rPr>
        <w:t>ise  bu</w:t>
      </w:r>
      <w:proofErr w:type="gramEnd"/>
      <w:r w:rsidR="00DF07C3" w:rsidRPr="00E40082">
        <w:rPr>
          <w:rFonts w:ascii="Tahoma" w:eastAsia="Times New Roman" w:hAnsi="Tahoma" w:cs="Tahoma"/>
          <w:sz w:val="20"/>
          <w:szCs w:val="20"/>
          <w:lang w:eastAsia="tr-TR"/>
        </w:rPr>
        <w:t xml:space="preserve"> Kanunlardaki müeyyidelerin uygulanacağı tabiidir.)</w:t>
      </w:r>
    </w:p>
    <w:p w14:paraId="5CB26DF0" w14:textId="77777777" w:rsidR="00DF07C3" w:rsidRPr="00E40082" w:rsidRDefault="00DF07C3" w:rsidP="00BD2E57">
      <w:pPr>
        <w:spacing w:after="0" w:line="240" w:lineRule="exact"/>
        <w:jc w:val="both"/>
        <w:rPr>
          <w:rFonts w:ascii="Tahoma" w:eastAsia="Times New Roman" w:hAnsi="Tahoma" w:cs="Tahoma"/>
          <w:sz w:val="20"/>
          <w:szCs w:val="20"/>
          <w:lang w:eastAsia="tr-TR"/>
        </w:rPr>
      </w:pPr>
    </w:p>
    <w:p w14:paraId="646DF87D" w14:textId="60BDA6B3" w:rsidR="009227A4" w:rsidRPr="00E40082" w:rsidRDefault="009227A4" w:rsidP="00BD2E57">
      <w:pPr>
        <w:spacing w:after="0" w:line="240" w:lineRule="exact"/>
        <w:jc w:val="both"/>
        <w:rPr>
          <w:rFonts w:ascii="Tahoma" w:eastAsia="Times New Roman" w:hAnsi="Tahoma" w:cs="Tahoma"/>
          <w:sz w:val="20"/>
          <w:szCs w:val="20"/>
          <w:lang w:eastAsia="tr-TR"/>
        </w:rPr>
      </w:pPr>
      <w:r w:rsidRPr="00E40082">
        <w:rPr>
          <w:rFonts w:ascii="Tahoma" w:eastAsia="Times New Roman" w:hAnsi="Tahoma" w:cs="Tahoma"/>
          <w:sz w:val="20"/>
          <w:szCs w:val="20"/>
          <w:lang w:eastAsia="tr-TR"/>
        </w:rPr>
        <w:t>Kabahatler Kanununu’nun toplum düzenini, genel ahlâkı, genel sağlığı, çevreyi ve ekonomik düzeni korumak amacıyla getirildiği (Madde:1</w:t>
      </w:r>
      <w:r w:rsidR="005B3BDC" w:rsidRPr="00E40082">
        <w:rPr>
          <w:rFonts w:ascii="Tahoma" w:eastAsia="Times New Roman" w:hAnsi="Tahoma" w:cs="Tahoma"/>
          <w:sz w:val="20"/>
          <w:szCs w:val="20"/>
          <w:lang w:eastAsia="tr-TR"/>
        </w:rPr>
        <w:t>), kabahat</w:t>
      </w:r>
      <w:r w:rsidRPr="00E40082">
        <w:rPr>
          <w:rFonts w:ascii="Tahoma" w:eastAsia="Times New Roman" w:hAnsi="Tahoma" w:cs="Tahoma"/>
          <w:sz w:val="20"/>
          <w:szCs w:val="20"/>
          <w:lang w:eastAsia="tr-TR"/>
        </w:rPr>
        <w:t xml:space="preserve"> deyiminin; bu Kanunun, karşılığında idarî yaptırım uygulanmasını öngördüğü haksızlığı ifade ettiği (Madde:2) görülmektedir. Kabahatler Kanununa göre idari para cezası uygulanması gereken haller kambiyo mevzuatına aykırı işlemlerle sınırlı değildir. Öte yandan; Kabahatler Kanununda uygulanacak idari </w:t>
      </w:r>
      <w:r w:rsidR="00957ECA" w:rsidRPr="00E40082">
        <w:rPr>
          <w:rFonts w:ascii="Tahoma" w:eastAsia="Times New Roman" w:hAnsi="Tahoma" w:cs="Tahoma"/>
          <w:sz w:val="20"/>
          <w:szCs w:val="20"/>
          <w:lang w:eastAsia="tr-TR"/>
        </w:rPr>
        <w:t>yaptırımlar,</w:t>
      </w:r>
      <w:r w:rsidRPr="00E40082">
        <w:rPr>
          <w:rFonts w:ascii="Tahoma" w:eastAsia="Times New Roman" w:hAnsi="Tahoma" w:cs="Tahoma"/>
          <w:sz w:val="20"/>
          <w:szCs w:val="20"/>
          <w:lang w:eastAsia="tr-TR"/>
        </w:rPr>
        <w:t xml:space="preserve"> idari para cezası ile sınırlı olmayıp, mülkiyetin kamuya geçirilmesi şeklinde idari tedbir de bu yaptırımlar arasındadır. Ancak; </w:t>
      </w:r>
      <w:r w:rsidR="00BA7C98" w:rsidRPr="00E40082">
        <w:rPr>
          <w:rFonts w:ascii="Tahoma" w:eastAsia="Times New Roman" w:hAnsi="Tahoma" w:cs="Tahoma"/>
          <w:sz w:val="20"/>
          <w:szCs w:val="20"/>
          <w:lang w:eastAsia="tr-TR"/>
        </w:rPr>
        <w:t>önceki bölümlerde</w:t>
      </w:r>
      <w:r w:rsidRPr="00E40082">
        <w:rPr>
          <w:rFonts w:ascii="Tahoma" w:eastAsia="Times New Roman" w:hAnsi="Tahoma" w:cs="Tahoma"/>
          <w:sz w:val="20"/>
          <w:szCs w:val="20"/>
          <w:lang w:eastAsia="tr-TR"/>
        </w:rPr>
        <w:t xml:space="preserve"> belirttiğimiz </w:t>
      </w:r>
      <w:r w:rsidR="00957ECA" w:rsidRPr="00E40082">
        <w:rPr>
          <w:rFonts w:ascii="Tahoma" w:eastAsia="Times New Roman" w:hAnsi="Tahoma" w:cs="Tahoma"/>
          <w:sz w:val="20"/>
          <w:szCs w:val="20"/>
          <w:lang w:eastAsia="tr-TR"/>
        </w:rPr>
        <w:t>üzere, dövizli</w:t>
      </w:r>
      <w:r w:rsidRPr="00E40082">
        <w:rPr>
          <w:rFonts w:ascii="Tahoma" w:eastAsia="Times New Roman" w:hAnsi="Tahoma" w:cs="Tahoma"/>
          <w:sz w:val="20"/>
          <w:szCs w:val="20"/>
          <w:lang w:eastAsia="tr-TR"/>
        </w:rPr>
        <w:t xml:space="preserve"> borç para vermenin müeyyidesi idari para cezası</w:t>
      </w:r>
      <w:r w:rsidR="00BA7C98" w:rsidRPr="00E40082">
        <w:rPr>
          <w:rFonts w:ascii="Tahoma" w:eastAsia="Times New Roman" w:hAnsi="Tahoma" w:cs="Tahoma"/>
          <w:sz w:val="20"/>
          <w:szCs w:val="20"/>
          <w:lang w:eastAsia="tr-TR"/>
        </w:rPr>
        <w:t>ndan ibarettir.</w:t>
      </w:r>
    </w:p>
    <w:p w14:paraId="71DBC88E" w14:textId="77777777" w:rsidR="00FD16BB" w:rsidRPr="00E40082" w:rsidRDefault="00FD16BB" w:rsidP="00BD2E57">
      <w:pPr>
        <w:spacing w:after="0" w:line="240" w:lineRule="exact"/>
        <w:jc w:val="both"/>
        <w:rPr>
          <w:rFonts w:ascii="Tahoma" w:eastAsia="Times New Roman" w:hAnsi="Tahoma" w:cs="Tahoma"/>
          <w:sz w:val="20"/>
          <w:szCs w:val="20"/>
          <w:lang w:eastAsia="tr-TR"/>
        </w:rPr>
      </w:pPr>
    </w:p>
    <w:p w14:paraId="53985276" w14:textId="74D25330" w:rsidR="00FD16BB" w:rsidRPr="00E40082" w:rsidRDefault="00FD16BB" w:rsidP="00BD2E57">
      <w:pPr>
        <w:spacing w:after="0" w:line="240" w:lineRule="exact"/>
        <w:jc w:val="both"/>
        <w:rPr>
          <w:rFonts w:ascii="Tahoma" w:eastAsia="Times New Roman" w:hAnsi="Tahoma" w:cs="Tahoma"/>
          <w:sz w:val="20"/>
          <w:szCs w:val="20"/>
          <w:lang w:eastAsia="tr-TR"/>
        </w:rPr>
      </w:pPr>
      <w:r w:rsidRPr="00E40082">
        <w:rPr>
          <w:rFonts w:ascii="Tahoma" w:eastAsia="Times New Roman" w:hAnsi="Tahoma" w:cs="Tahoma"/>
          <w:sz w:val="20"/>
          <w:szCs w:val="20"/>
          <w:lang w:eastAsia="tr-TR"/>
        </w:rPr>
        <w:t>Borçlar Kanunu 27.Maddesi açısından konunun değerlendirilmesine</w:t>
      </w:r>
      <w:r w:rsidR="00AE5DA5" w:rsidRPr="00E40082">
        <w:rPr>
          <w:rFonts w:ascii="Tahoma" w:eastAsia="Times New Roman" w:hAnsi="Tahoma" w:cs="Tahoma"/>
          <w:sz w:val="20"/>
          <w:szCs w:val="20"/>
          <w:lang w:eastAsia="tr-TR"/>
        </w:rPr>
        <w:t xml:space="preserve"> gelirsek</w:t>
      </w:r>
      <w:r w:rsidRPr="00E40082">
        <w:rPr>
          <w:rFonts w:ascii="Tahoma" w:eastAsia="Times New Roman" w:hAnsi="Tahoma" w:cs="Tahoma"/>
          <w:sz w:val="20"/>
          <w:szCs w:val="20"/>
          <w:lang w:eastAsia="tr-TR"/>
        </w:rPr>
        <w:t>;</w:t>
      </w:r>
    </w:p>
    <w:p w14:paraId="1DA8C6EB" w14:textId="77777777" w:rsidR="00FD16BB" w:rsidRPr="00E40082" w:rsidRDefault="00FD16BB" w:rsidP="00BD2E57">
      <w:pPr>
        <w:spacing w:after="0" w:line="240" w:lineRule="exact"/>
        <w:jc w:val="both"/>
        <w:rPr>
          <w:rFonts w:ascii="Tahoma" w:eastAsia="Times New Roman" w:hAnsi="Tahoma" w:cs="Tahoma"/>
          <w:sz w:val="20"/>
          <w:szCs w:val="20"/>
          <w:lang w:eastAsia="tr-TR"/>
        </w:rPr>
      </w:pPr>
    </w:p>
    <w:p w14:paraId="37F9D7DF" w14:textId="362A55EE" w:rsidR="00FD16BB" w:rsidRPr="00E40082" w:rsidRDefault="00FD16BB" w:rsidP="00BD2E57">
      <w:pPr>
        <w:spacing w:after="0" w:line="240" w:lineRule="exact"/>
        <w:jc w:val="both"/>
        <w:rPr>
          <w:rFonts w:ascii="Tahoma" w:eastAsia="Times New Roman" w:hAnsi="Tahoma" w:cs="Tahoma"/>
          <w:sz w:val="20"/>
          <w:szCs w:val="20"/>
          <w:lang w:eastAsia="tr-TR"/>
        </w:rPr>
      </w:pPr>
      <w:r w:rsidRPr="00E40082">
        <w:rPr>
          <w:rFonts w:ascii="Tahoma" w:eastAsia="Times New Roman" w:hAnsi="Tahoma" w:cs="Tahoma"/>
          <w:sz w:val="20"/>
          <w:szCs w:val="20"/>
          <w:lang w:eastAsia="tr-TR"/>
        </w:rPr>
        <w:t xml:space="preserve">Kambiyo mevzuatına aykırı şekilde dövizli borç para verme işlemine yönelik sözleşme (yazılı </w:t>
      </w:r>
      <w:proofErr w:type="gramStart"/>
      <w:r w:rsidRPr="00E40082">
        <w:rPr>
          <w:rFonts w:ascii="Tahoma" w:eastAsia="Times New Roman" w:hAnsi="Tahoma" w:cs="Tahoma"/>
          <w:sz w:val="20"/>
          <w:szCs w:val="20"/>
          <w:lang w:eastAsia="tr-TR"/>
        </w:rPr>
        <w:t>yada</w:t>
      </w:r>
      <w:proofErr w:type="gramEnd"/>
      <w:r w:rsidRPr="00E40082">
        <w:rPr>
          <w:rFonts w:ascii="Tahoma" w:eastAsia="Times New Roman" w:hAnsi="Tahoma" w:cs="Tahoma"/>
          <w:sz w:val="20"/>
          <w:szCs w:val="20"/>
          <w:lang w:eastAsia="tr-TR"/>
        </w:rPr>
        <w:t xml:space="preserve"> sözlü) kanunun emredici hükümlerine aykırı sayılır mı? 1567 sayılı Türk Parasının Kıymetini Koruma Hakkında Kanunda dövizli borç para vermeye ilişkin bir hüküm bulunmamaktadır. Dövizle ilgili hususlarda düzenleme yapmaya (öncesinde Bakanlar Kurulu) Cumhurbaşkanı yetkili kılınmıştır. (Öncesinde Bakanlar Kurulu) Cumhurbaşkanı Kararı ile getirilen düzenlemelere aykırılık Kanunun emredici hükümlerine aykırılık teşkil eder mi? </w:t>
      </w:r>
      <w:r w:rsidR="00957ECA" w:rsidRPr="00E40082">
        <w:rPr>
          <w:rFonts w:ascii="Tahoma" w:eastAsia="Times New Roman" w:hAnsi="Tahoma" w:cs="Tahoma"/>
          <w:sz w:val="20"/>
          <w:szCs w:val="20"/>
          <w:lang w:eastAsia="tr-TR"/>
        </w:rPr>
        <w:t>Ya da</w:t>
      </w:r>
      <w:r w:rsidRPr="00E40082">
        <w:rPr>
          <w:rFonts w:ascii="Tahoma" w:eastAsia="Times New Roman" w:hAnsi="Tahoma" w:cs="Tahoma"/>
          <w:sz w:val="20"/>
          <w:szCs w:val="20"/>
          <w:lang w:eastAsia="tr-TR"/>
        </w:rPr>
        <w:t xml:space="preserve"> farklı şekilde </w:t>
      </w:r>
      <w:r w:rsidR="00957ECA" w:rsidRPr="00E40082">
        <w:rPr>
          <w:rFonts w:ascii="Tahoma" w:eastAsia="Times New Roman" w:hAnsi="Tahoma" w:cs="Tahoma"/>
          <w:sz w:val="20"/>
          <w:szCs w:val="20"/>
          <w:lang w:eastAsia="tr-TR"/>
        </w:rPr>
        <w:t>sorarsak, 1567</w:t>
      </w:r>
      <w:r w:rsidR="00C717CD" w:rsidRPr="00E40082">
        <w:rPr>
          <w:rFonts w:ascii="Tahoma" w:eastAsia="Times New Roman" w:hAnsi="Tahoma" w:cs="Tahoma"/>
          <w:sz w:val="20"/>
          <w:szCs w:val="20"/>
          <w:lang w:eastAsia="tr-TR"/>
        </w:rPr>
        <w:t xml:space="preserve"> sayılı Kanunun alt </w:t>
      </w:r>
      <w:proofErr w:type="gramStart"/>
      <w:r w:rsidR="00C717CD" w:rsidRPr="00E40082">
        <w:rPr>
          <w:rFonts w:ascii="Tahoma" w:eastAsia="Times New Roman" w:hAnsi="Tahoma" w:cs="Tahoma"/>
          <w:sz w:val="20"/>
          <w:szCs w:val="20"/>
          <w:lang w:eastAsia="tr-TR"/>
        </w:rPr>
        <w:t xml:space="preserve">mevzuatıyla </w:t>
      </w:r>
      <w:r w:rsidRPr="00E40082">
        <w:rPr>
          <w:rFonts w:ascii="Tahoma" w:eastAsia="Times New Roman" w:hAnsi="Tahoma" w:cs="Tahoma"/>
          <w:sz w:val="20"/>
          <w:szCs w:val="20"/>
          <w:lang w:eastAsia="tr-TR"/>
        </w:rPr>
        <w:t xml:space="preserve"> dövizli</w:t>
      </w:r>
      <w:proofErr w:type="gramEnd"/>
      <w:r w:rsidRPr="00E40082">
        <w:rPr>
          <w:rFonts w:ascii="Tahoma" w:eastAsia="Times New Roman" w:hAnsi="Tahoma" w:cs="Tahoma"/>
          <w:sz w:val="20"/>
          <w:szCs w:val="20"/>
          <w:lang w:eastAsia="tr-TR"/>
        </w:rPr>
        <w:t xml:space="preserve"> borç para vermeye getirilen sınırlama emredici hüküm sayılır mı?</w:t>
      </w:r>
    </w:p>
    <w:p w14:paraId="37130D9D" w14:textId="77777777" w:rsidR="00FD16BB" w:rsidRPr="00E40082" w:rsidRDefault="00FD16BB" w:rsidP="00BD2E57">
      <w:pPr>
        <w:spacing w:after="0" w:line="240" w:lineRule="exact"/>
        <w:jc w:val="both"/>
        <w:rPr>
          <w:rFonts w:ascii="Tahoma" w:eastAsia="Times New Roman" w:hAnsi="Tahoma" w:cs="Tahoma"/>
          <w:sz w:val="20"/>
          <w:szCs w:val="20"/>
          <w:lang w:eastAsia="tr-TR"/>
        </w:rPr>
      </w:pPr>
    </w:p>
    <w:p w14:paraId="5F057A1D" w14:textId="033EA868" w:rsidR="00FD16BB" w:rsidRPr="00E40082" w:rsidRDefault="00FD16BB" w:rsidP="00BD2E57">
      <w:pPr>
        <w:spacing w:after="0" w:line="240" w:lineRule="exact"/>
        <w:jc w:val="both"/>
        <w:rPr>
          <w:rFonts w:ascii="Tahoma" w:eastAsia="Times New Roman" w:hAnsi="Tahoma" w:cs="Tahoma"/>
          <w:sz w:val="20"/>
          <w:szCs w:val="20"/>
          <w:lang w:eastAsia="tr-TR"/>
        </w:rPr>
      </w:pPr>
      <w:r w:rsidRPr="00E40082">
        <w:rPr>
          <w:rFonts w:ascii="Tahoma" w:eastAsia="Times New Roman" w:hAnsi="Tahoma" w:cs="Tahoma"/>
          <w:sz w:val="20"/>
          <w:szCs w:val="20"/>
          <w:lang w:eastAsia="tr-TR"/>
        </w:rPr>
        <w:t>İkinci olarak</w:t>
      </w:r>
      <w:r w:rsidR="00C717CD" w:rsidRPr="00E40082">
        <w:rPr>
          <w:rFonts w:ascii="Tahoma" w:eastAsia="Times New Roman" w:hAnsi="Tahoma" w:cs="Tahoma"/>
          <w:sz w:val="20"/>
          <w:szCs w:val="20"/>
          <w:lang w:eastAsia="tr-TR"/>
        </w:rPr>
        <w:t>,</w:t>
      </w:r>
      <w:r w:rsidRPr="00E40082">
        <w:rPr>
          <w:rFonts w:ascii="Tahoma" w:eastAsia="Times New Roman" w:hAnsi="Tahoma" w:cs="Tahoma"/>
          <w:sz w:val="20"/>
          <w:szCs w:val="20"/>
          <w:lang w:eastAsia="tr-TR"/>
        </w:rPr>
        <w:t xml:space="preserve"> aynı </w:t>
      </w:r>
      <w:r w:rsidR="00957ECA" w:rsidRPr="00E40082">
        <w:rPr>
          <w:rFonts w:ascii="Tahoma" w:eastAsia="Times New Roman" w:hAnsi="Tahoma" w:cs="Tahoma"/>
          <w:sz w:val="20"/>
          <w:szCs w:val="20"/>
          <w:lang w:eastAsia="tr-TR"/>
        </w:rPr>
        <w:t>maddedeki sayılan</w:t>
      </w:r>
      <w:r w:rsidRPr="00E40082">
        <w:rPr>
          <w:rFonts w:ascii="Tahoma" w:eastAsia="Times New Roman" w:hAnsi="Tahoma" w:cs="Tahoma"/>
          <w:sz w:val="20"/>
          <w:szCs w:val="20"/>
          <w:lang w:eastAsia="tr-TR"/>
        </w:rPr>
        <w:t xml:space="preserve"> diğer hususlar açısından konuya bakalım. 32 sayılı Karara aykırı olarak dövizle borç para vermenin </w:t>
      </w:r>
      <w:r w:rsidR="000B24A2" w:rsidRPr="00E40082">
        <w:rPr>
          <w:rFonts w:ascii="Tahoma" w:eastAsia="Times New Roman" w:hAnsi="Tahoma" w:cs="Tahoma"/>
          <w:sz w:val="20"/>
          <w:szCs w:val="20"/>
          <w:lang w:eastAsia="tr-TR"/>
        </w:rPr>
        <w:t>“</w:t>
      </w:r>
      <w:r w:rsidRPr="00E40082">
        <w:rPr>
          <w:rFonts w:ascii="Tahoma" w:eastAsia="Times New Roman" w:hAnsi="Tahoma" w:cs="Tahoma"/>
          <w:sz w:val="20"/>
          <w:szCs w:val="20"/>
          <w:lang w:eastAsia="tr-TR"/>
        </w:rPr>
        <w:t xml:space="preserve">ahlaka, kişilik haklarına aykırı veya konusu </w:t>
      </w:r>
      <w:proofErr w:type="gramStart"/>
      <w:r w:rsidRPr="00E40082">
        <w:rPr>
          <w:rFonts w:ascii="Tahoma" w:eastAsia="Times New Roman" w:hAnsi="Tahoma" w:cs="Tahoma"/>
          <w:sz w:val="20"/>
          <w:szCs w:val="20"/>
          <w:lang w:eastAsia="tr-TR"/>
        </w:rPr>
        <w:t>imkansız</w:t>
      </w:r>
      <w:proofErr w:type="gramEnd"/>
      <w:r w:rsidRPr="00E40082">
        <w:rPr>
          <w:rFonts w:ascii="Tahoma" w:eastAsia="Times New Roman" w:hAnsi="Tahoma" w:cs="Tahoma"/>
          <w:sz w:val="20"/>
          <w:szCs w:val="20"/>
          <w:lang w:eastAsia="tr-TR"/>
        </w:rPr>
        <w:t xml:space="preserve"> olan sözle</w:t>
      </w:r>
      <w:r w:rsidR="00406863" w:rsidRPr="00E40082">
        <w:rPr>
          <w:rFonts w:ascii="Tahoma" w:eastAsia="Times New Roman" w:hAnsi="Tahoma" w:cs="Tahoma"/>
          <w:sz w:val="20"/>
          <w:szCs w:val="20"/>
          <w:lang w:eastAsia="tr-TR"/>
        </w:rPr>
        <w:t>şmeler</w:t>
      </w:r>
      <w:r w:rsidR="000B24A2" w:rsidRPr="00E40082">
        <w:rPr>
          <w:rFonts w:ascii="Tahoma" w:eastAsia="Times New Roman" w:hAnsi="Tahoma" w:cs="Tahoma"/>
          <w:sz w:val="20"/>
          <w:szCs w:val="20"/>
          <w:lang w:eastAsia="tr-TR"/>
        </w:rPr>
        <w:t>”</w:t>
      </w:r>
      <w:r w:rsidR="00406863" w:rsidRPr="00E40082">
        <w:rPr>
          <w:rFonts w:ascii="Tahoma" w:eastAsia="Times New Roman" w:hAnsi="Tahoma" w:cs="Tahoma"/>
          <w:sz w:val="20"/>
          <w:szCs w:val="20"/>
          <w:lang w:eastAsia="tr-TR"/>
        </w:rPr>
        <w:t xml:space="preserve"> kapsamına girmeyeceğini düşünüyoruz. Burada kritik olan husus sözleşmenin “</w:t>
      </w:r>
      <w:r w:rsidR="00406863" w:rsidRPr="00E40082">
        <w:rPr>
          <w:rFonts w:ascii="Tahoma" w:eastAsia="Times New Roman" w:hAnsi="Tahoma" w:cs="Tahoma"/>
          <w:b/>
          <w:bCs/>
          <w:sz w:val="20"/>
          <w:szCs w:val="20"/>
          <w:lang w:eastAsia="tr-TR"/>
        </w:rPr>
        <w:t>kamu düzenine</w:t>
      </w:r>
      <w:r w:rsidR="00406863" w:rsidRPr="00E40082">
        <w:rPr>
          <w:rFonts w:ascii="Tahoma" w:eastAsia="Times New Roman" w:hAnsi="Tahoma" w:cs="Tahoma"/>
          <w:sz w:val="20"/>
          <w:szCs w:val="20"/>
          <w:lang w:eastAsia="tr-TR"/>
        </w:rPr>
        <w:t>” aykırı olarak değerlendirilip değerlendirilmeyeceğidir.</w:t>
      </w:r>
    </w:p>
    <w:p w14:paraId="0808AD56" w14:textId="77777777" w:rsidR="00406863" w:rsidRPr="00E40082" w:rsidRDefault="00406863" w:rsidP="00BD2E57">
      <w:pPr>
        <w:spacing w:after="0" w:line="240" w:lineRule="exact"/>
        <w:jc w:val="both"/>
        <w:rPr>
          <w:rFonts w:ascii="Tahoma" w:eastAsia="Times New Roman" w:hAnsi="Tahoma" w:cs="Tahoma"/>
          <w:sz w:val="20"/>
          <w:szCs w:val="20"/>
          <w:lang w:eastAsia="tr-TR"/>
        </w:rPr>
      </w:pPr>
    </w:p>
    <w:p w14:paraId="48136F36" w14:textId="1A43CE67" w:rsidR="00406863" w:rsidRPr="00E40082" w:rsidRDefault="00406863" w:rsidP="00BD2E57">
      <w:pPr>
        <w:spacing w:after="0" w:line="240" w:lineRule="exact"/>
        <w:jc w:val="both"/>
        <w:rPr>
          <w:rFonts w:ascii="Tahoma" w:eastAsia="Times New Roman" w:hAnsi="Tahoma" w:cs="Tahoma"/>
          <w:sz w:val="20"/>
          <w:szCs w:val="20"/>
          <w:lang w:eastAsia="tr-TR"/>
        </w:rPr>
      </w:pPr>
      <w:r w:rsidRPr="00E40082">
        <w:rPr>
          <w:rFonts w:ascii="Tahoma" w:eastAsia="Times New Roman" w:hAnsi="Tahoma" w:cs="Tahoma"/>
          <w:sz w:val="20"/>
          <w:szCs w:val="20"/>
          <w:lang w:eastAsia="tr-TR"/>
        </w:rPr>
        <w:t xml:space="preserve">Kabahatler Kanununun </w:t>
      </w:r>
      <w:r w:rsidRPr="00E40082">
        <w:rPr>
          <w:rFonts w:ascii="Tahoma" w:eastAsia="Times New Roman" w:hAnsi="Tahoma" w:cs="Tahoma"/>
          <w:b/>
          <w:bCs/>
          <w:sz w:val="20"/>
          <w:szCs w:val="20"/>
          <w:lang w:eastAsia="tr-TR"/>
        </w:rPr>
        <w:t xml:space="preserve">toplum </w:t>
      </w:r>
      <w:r w:rsidR="00957ECA" w:rsidRPr="00E40082">
        <w:rPr>
          <w:rFonts w:ascii="Tahoma" w:eastAsia="Times New Roman" w:hAnsi="Tahoma" w:cs="Tahoma"/>
          <w:b/>
          <w:bCs/>
          <w:sz w:val="20"/>
          <w:szCs w:val="20"/>
          <w:lang w:eastAsia="tr-TR"/>
        </w:rPr>
        <w:t>düzenini</w:t>
      </w:r>
      <w:r w:rsidR="00957ECA" w:rsidRPr="00E40082">
        <w:rPr>
          <w:rFonts w:ascii="Tahoma" w:eastAsia="Times New Roman" w:hAnsi="Tahoma" w:cs="Tahoma"/>
          <w:sz w:val="20"/>
          <w:szCs w:val="20"/>
          <w:lang w:eastAsia="tr-TR"/>
        </w:rPr>
        <w:t>, genel</w:t>
      </w:r>
      <w:r w:rsidRPr="00E40082">
        <w:rPr>
          <w:rFonts w:ascii="Tahoma" w:eastAsia="Times New Roman" w:hAnsi="Tahoma" w:cs="Tahoma"/>
          <w:sz w:val="20"/>
          <w:szCs w:val="20"/>
          <w:lang w:eastAsia="tr-TR"/>
        </w:rPr>
        <w:t xml:space="preserve"> ahlâkı, genel sağlığı, çevreyi ve ekonomik düzeni korumak amacıyla getirildiği kabahat deyiminin; bu Kanunun, karşılığında idarî yaptırım uygulanmasını öngördüğü haksızlığı ifade ettiğini yukarıda belirttik. Kamu düzeni ile toplum düzeni aynı mahiyette </w:t>
      </w:r>
      <w:proofErr w:type="gramStart"/>
      <w:r w:rsidRPr="00E40082">
        <w:rPr>
          <w:rFonts w:ascii="Tahoma" w:eastAsia="Times New Roman" w:hAnsi="Tahoma" w:cs="Tahoma"/>
          <w:sz w:val="20"/>
          <w:szCs w:val="20"/>
          <w:lang w:eastAsia="tr-TR"/>
        </w:rPr>
        <w:t>ise,  bu</w:t>
      </w:r>
      <w:proofErr w:type="gramEnd"/>
      <w:r w:rsidRPr="00E40082">
        <w:rPr>
          <w:rFonts w:ascii="Tahoma" w:eastAsia="Times New Roman" w:hAnsi="Tahoma" w:cs="Tahoma"/>
          <w:sz w:val="20"/>
          <w:szCs w:val="20"/>
          <w:lang w:eastAsia="tr-TR"/>
        </w:rPr>
        <w:t xml:space="preserve"> açıdan </w:t>
      </w:r>
      <w:r w:rsidR="00957ECA" w:rsidRPr="00E40082">
        <w:rPr>
          <w:rFonts w:ascii="Tahoma" w:eastAsia="Times New Roman" w:hAnsi="Tahoma" w:cs="Tahoma"/>
          <w:sz w:val="20"/>
          <w:szCs w:val="20"/>
          <w:lang w:eastAsia="tr-TR"/>
        </w:rPr>
        <w:t>bakıldığında; kambiyo</w:t>
      </w:r>
      <w:r w:rsidRPr="00E40082">
        <w:rPr>
          <w:rFonts w:ascii="Tahoma" w:eastAsia="Times New Roman" w:hAnsi="Tahoma" w:cs="Tahoma"/>
          <w:sz w:val="20"/>
          <w:szCs w:val="20"/>
          <w:lang w:eastAsia="tr-TR"/>
        </w:rPr>
        <w:t xml:space="preserve"> mevzuatına aykırı şekilde dövizli borç para vermenin kamu düzenini bozduğu, kamu düzenine aykırılık teşkil ettiği söylenebilir belki.</w:t>
      </w:r>
    </w:p>
    <w:p w14:paraId="012C8EC8" w14:textId="77777777" w:rsidR="00406863" w:rsidRPr="00E40082" w:rsidRDefault="00406863" w:rsidP="00BD2E57">
      <w:pPr>
        <w:spacing w:after="0" w:line="240" w:lineRule="exact"/>
        <w:jc w:val="both"/>
        <w:rPr>
          <w:rFonts w:ascii="Tahoma" w:eastAsia="Times New Roman" w:hAnsi="Tahoma" w:cs="Tahoma"/>
          <w:sz w:val="20"/>
          <w:szCs w:val="20"/>
          <w:lang w:eastAsia="tr-TR"/>
        </w:rPr>
      </w:pPr>
    </w:p>
    <w:p w14:paraId="11EBECA3" w14:textId="7181A59C" w:rsidR="00406863" w:rsidRPr="00E40082" w:rsidRDefault="00406863" w:rsidP="00BD2E57">
      <w:pPr>
        <w:spacing w:after="0" w:line="240" w:lineRule="exact"/>
        <w:jc w:val="both"/>
        <w:rPr>
          <w:rFonts w:ascii="Tahoma" w:hAnsi="Tahoma" w:cs="Tahoma"/>
          <w:sz w:val="20"/>
          <w:szCs w:val="20"/>
        </w:rPr>
      </w:pPr>
      <w:r w:rsidRPr="00E40082">
        <w:rPr>
          <w:rFonts w:ascii="Tahoma" w:eastAsia="Times New Roman" w:hAnsi="Tahoma" w:cs="Tahoma"/>
          <w:sz w:val="20"/>
          <w:szCs w:val="20"/>
          <w:lang w:eastAsia="tr-TR"/>
        </w:rPr>
        <w:t xml:space="preserve">Yazımızın </w:t>
      </w:r>
      <w:r w:rsidR="000C23D5" w:rsidRPr="00E40082">
        <w:rPr>
          <w:rFonts w:ascii="Tahoma" w:eastAsia="Times New Roman" w:hAnsi="Tahoma" w:cs="Tahoma"/>
          <w:sz w:val="20"/>
          <w:szCs w:val="20"/>
          <w:lang w:eastAsia="tr-TR"/>
        </w:rPr>
        <w:t>3</w:t>
      </w:r>
      <w:r w:rsidRPr="00E40082">
        <w:rPr>
          <w:rFonts w:ascii="Tahoma" w:eastAsia="Times New Roman" w:hAnsi="Tahoma" w:cs="Tahoma"/>
          <w:sz w:val="20"/>
          <w:szCs w:val="20"/>
          <w:lang w:eastAsia="tr-TR"/>
        </w:rPr>
        <w:t xml:space="preserve">.bölümünde belirtilen Yargıtay Kararında kamu düzeni; </w:t>
      </w:r>
      <w:r w:rsidRPr="00E40082">
        <w:rPr>
          <w:rFonts w:ascii="Tahoma" w:hAnsi="Tahoma" w:cs="Tahoma"/>
          <w:sz w:val="20"/>
          <w:szCs w:val="20"/>
        </w:rPr>
        <w:t>toplumun temel yapısını ve çıkarlarını koruyan kuralların bütünü olarak tanımlanmış</w:t>
      </w:r>
      <w:r w:rsidR="00FB0F77" w:rsidRPr="00E40082">
        <w:rPr>
          <w:rFonts w:ascii="Tahoma" w:hAnsi="Tahoma" w:cs="Tahoma"/>
          <w:sz w:val="20"/>
          <w:szCs w:val="20"/>
        </w:rPr>
        <w:t>tır. Kararda; k</w:t>
      </w:r>
      <w:r w:rsidRPr="00E40082">
        <w:rPr>
          <w:rFonts w:ascii="Tahoma" w:hAnsi="Tahoma" w:cs="Tahoma"/>
          <w:sz w:val="20"/>
          <w:szCs w:val="20"/>
        </w:rPr>
        <w:t xml:space="preserve">amu düzeninin çerçevesinin; Türk hukukunun temel değerlerine, Türk genel adap ve ahlak anlayışına, Türk kanunlarının dayandığı temel adalet anlayışına, Türk kanunlarının dayandığı genel siyasete, Anayasada yer alan temel hak ve özgürlüklere, milletlerarası alanda geçerli ortak prensip ve özel hukuka ait </w:t>
      </w:r>
      <w:r w:rsidR="00BE0498" w:rsidRPr="00E40082">
        <w:rPr>
          <w:rFonts w:ascii="Tahoma" w:hAnsi="Tahoma" w:cs="Tahoma"/>
          <w:sz w:val="20"/>
          <w:szCs w:val="20"/>
        </w:rPr>
        <w:t>iyi niyet</w:t>
      </w:r>
      <w:r w:rsidRPr="00E40082">
        <w:rPr>
          <w:rFonts w:ascii="Tahoma" w:hAnsi="Tahoma" w:cs="Tahoma"/>
          <w:sz w:val="20"/>
          <w:szCs w:val="20"/>
        </w:rPr>
        <w:t xml:space="preserve"> prensibine dayanan kurallara, medeni toplulukların müştereken benimsedikleri ahlak ilkeleri ve adalet anlayışının ifadesi olan hukuk prensiplerine, toplumun medeniyet seviyesine, siyasi ve ekonomik rejimine, insan hak ve özgürlüklerine aykırılık şeklinde çizilebileceği, tarafların uymak zorunda oldukları, kamu hukukundan ve özel hukuktan doğan ancak tarafların üzerinde serbestçe tasarruf edemeyecekleri kurallar olarak anlaşılması gerektiği </w:t>
      </w:r>
      <w:r w:rsidR="00FB0F77" w:rsidRPr="00E40082">
        <w:rPr>
          <w:rFonts w:ascii="Tahoma" w:hAnsi="Tahoma" w:cs="Tahoma"/>
          <w:sz w:val="20"/>
          <w:szCs w:val="20"/>
        </w:rPr>
        <w:t xml:space="preserve">belirtilerek, </w:t>
      </w:r>
      <w:r w:rsidRPr="00E40082">
        <w:rPr>
          <w:rFonts w:ascii="Tahoma" w:hAnsi="Tahoma" w:cs="Tahoma"/>
          <w:sz w:val="20"/>
          <w:szCs w:val="20"/>
        </w:rPr>
        <w:t xml:space="preserve">tarafların yapacakları hukuki işlemlerde tesis edecekleri </w:t>
      </w:r>
      <w:r w:rsidRPr="00E40082">
        <w:rPr>
          <w:rFonts w:ascii="Tahoma" w:hAnsi="Tahoma" w:cs="Tahoma"/>
          <w:b/>
          <w:bCs/>
          <w:sz w:val="20"/>
          <w:szCs w:val="20"/>
          <w:u w:val="single"/>
        </w:rPr>
        <w:t>ağır kamu düzenine aykırı hükümler</w:t>
      </w:r>
      <w:r w:rsidR="00FB0F77" w:rsidRPr="00E40082">
        <w:rPr>
          <w:rFonts w:ascii="Tahoma" w:hAnsi="Tahoma" w:cs="Tahoma"/>
          <w:b/>
          <w:bCs/>
          <w:sz w:val="20"/>
          <w:szCs w:val="20"/>
          <w:u w:val="single"/>
        </w:rPr>
        <w:t xml:space="preserve">in </w:t>
      </w:r>
      <w:r w:rsidRPr="00E40082">
        <w:rPr>
          <w:rFonts w:ascii="Tahoma" w:hAnsi="Tahoma" w:cs="Tahoma"/>
          <w:sz w:val="20"/>
          <w:szCs w:val="20"/>
        </w:rPr>
        <w:t>T</w:t>
      </w:r>
      <w:r w:rsidR="000B24A2" w:rsidRPr="00E40082">
        <w:rPr>
          <w:rFonts w:ascii="Tahoma" w:hAnsi="Tahoma" w:cs="Tahoma"/>
          <w:sz w:val="20"/>
          <w:szCs w:val="20"/>
        </w:rPr>
        <w:t xml:space="preserve">ürk </w:t>
      </w:r>
      <w:r w:rsidRPr="00E40082">
        <w:rPr>
          <w:rFonts w:ascii="Tahoma" w:hAnsi="Tahoma" w:cs="Tahoma"/>
          <w:sz w:val="20"/>
          <w:szCs w:val="20"/>
        </w:rPr>
        <w:t>B</w:t>
      </w:r>
      <w:r w:rsidR="000B24A2" w:rsidRPr="00E40082">
        <w:rPr>
          <w:rFonts w:ascii="Tahoma" w:hAnsi="Tahoma" w:cs="Tahoma"/>
          <w:sz w:val="20"/>
          <w:szCs w:val="20"/>
        </w:rPr>
        <w:t xml:space="preserve">orçlar </w:t>
      </w:r>
      <w:r w:rsidRPr="00E40082">
        <w:rPr>
          <w:rFonts w:ascii="Tahoma" w:hAnsi="Tahoma" w:cs="Tahoma"/>
          <w:sz w:val="20"/>
          <w:szCs w:val="20"/>
        </w:rPr>
        <w:t>K</w:t>
      </w:r>
      <w:r w:rsidR="000B24A2" w:rsidRPr="00E40082">
        <w:rPr>
          <w:rFonts w:ascii="Tahoma" w:hAnsi="Tahoma" w:cs="Tahoma"/>
          <w:sz w:val="20"/>
          <w:szCs w:val="20"/>
        </w:rPr>
        <w:t>anunu</w:t>
      </w:r>
      <w:r w:rsidRPr="00E40082">
        <w:rPr>
          <w:rFonts w:ascii="Tahoma" w:hAnsi="Tahoma" w:cs="Tahoma"/>
          <w:sz w:val="20"/>
          <w:szCs w:val="20"/>
        </w:rPr>
        <w:t>'n</w:t>
      </w:r>
      <w:r w:rsidR="000B24A2" w:rsidRPr="00E40082">
        <w:rPr>
          <w:rFonts w:ascii="Tahoma" w:hAnsi="Tahoma" w:cs="Tahoma"/>
          <w:sz w:val="20"/>
          <w:szCs w:val="20"/>
        </w:rPr>
        <w:t>u</w:t>
      </w:r>
      <w:r w:rsidRPr="00E40082">
        <w:rPr>
          <w:rFonts w:ascii="Tahoma" w:hAnsi="Tahoma" w:cs="Tahoma"/>
          <w:sz w:val="20"/>
          <w:szCs w:val="20"/>
        </w:rPr>
        <w:t xml:space="preserve">n 27/1.maddesi kapsamında kesin hükümsüzlük yaptırımına tabi </w:t>
      </w:r>
      <w:r w:rsidR="00FB0F77" w:rsidRPr="00E40082">
        <w:rPr>
          <w:rFonts w:ascii="Tahoma" w:hAnsi="Tahoma" w:cs="Tahoma"/>
          <w:sz w:val="20"/>
          <w:szCs w:val="20"/>
        </w:rPr>
        <w:t>olacağı ve geçersiz sayılacağı belirtilmiştir.</w:t>
      </w:r>
    </w:p>
    <w:p w14:paraId="7A5DC211" w14:textId="77777777" w:rsidR="00FB0F77" w:rsidRPr="00E40082" w:rsidRDefault="00FB0F77" w:rsidP="00BD2E57">
      <w:pPr>
        <w:spacing w:after="0" w:line="240" w:lineRule="exact"/>
        <w:jc w:val="both"/>
        <w:rPr>
          <w:rFonts w:ascii="Tahoma" w:hAnsi="Tahoma" w:cs="Tahoma"/>
          <w:sz w:val="20"/>
          <w:szCs w:val="20"/>
        </w:rPr>
      </w:pPr>
    </w:p>
    <w:p w14:paraId="0BD2F666" w14:textId="040800DF" w:rsidR="00A22761" w:rsidRPr="00E40082" w:rsidRDefault="00FB0F77" w:rsidP="00BD2E57">
      <w:pPr>
        <w:jc w:val="both"/>
        <w:rPr>
          <w:rFonts w:ascii="Tahoma" w:hAnsi="Tahoma" w:cs="Tahoma"/>
          <w:sz w:val="20"/>
          <w:szCs w:val="20"/>
        </w:rPr>
      </w:pPr>
      <w:r w:rsidRPr="00E40082">
        <w:rPr>
          <w:rFonts w:ascii="Tahoma" w:eastAsia="Times New Roman" w:hAnsi="Tahoma" w:cs="Tahoma"/>
          <w:sz w:val="20"/>
          <w:szCs w:val="20"/>
          <w:lang w:eastAsia="tr-TR"/>
        </w:rPr>
        <w:t xml:space="preserve">Yazımızın </w:t>
      </w:r>
      <w:r w:rsidR="000C23D5" w:rsidRPr="00E40082">
        <w:rPr>
          <w:rFonts w:ascii="Tahoma" w:eastAsia="Times New Roman" w:hAnsi="Tahoma" w:cs="Tahoma"/>
          <w:sz w:val="20"/>
          <w:szCs w:val="20"/>
          <w:lang w:eastAsia="tr-TR"/>
        </w:rPr>
        <w:t>4</w:t>
      </w:r>
      <w:r w:rsidRPr="00E40082">
        <w:rPr>
          <w:rFonts w:ascii="Tahoma" w:eastAsia="Times New Roman" w:hAnsi="Tahoma" w:cs="Tahoma"/>
          <w:sz w:val="20"/>
          <w:szCs w:val="20"/>
          <w:lang w:eastAsia="tr-TR"/>
        </w:rPr>
        <w:t xml:space="preserve">. </w:t>
      </w:r>
      <w:r w:rsidR="00060361" w:rsidRPr="00E40082">
        <w:rPr>
          <w:rFonts w:ascii="Tahoma" w:eastAsia="Times New Roman" w:hAnsi="Tahoma" w:cs="Tahoma"/>
          <w:sz w:val="20"/>
          <w:szCs w:val="20"/>
          <w:lang w:eastAsia="tr-TR"/>
        </w:rPr>
        <w:t>b</w:t>
      </w:r>
      <w:r w:rsidRPr="00E40082">
        <w:rPr>
          <w:rFonts w:ascii="Tahoma" w:eastAsia="Times New Roman" w:hAnsi="Tahoma" w:cs="Tahoma"/>
          <w:sz w:val="20"/>
          <w:szCs w:val="20"/>
          <w:lang w:eastAsia="tr-TR"/>
        </w:rPr>
        <w:t xml:space="preserve">ölümünde belirtilen Yargıtay </w:t>
      </w:r>
      <w:r w:rsidR="000B24A2" w:rsidRPr="00E40082">
        <w:rPr>
          <w:rFonts w:ascii="Tahoma" w:eastAsia="Times New Roman" w:hAnsi="Tahoma" w:cs="Tahoma"/>
          <w:sz w:val="20"/>
          <w:szCs w:val="20"/>
          <w:lang w:eastAsia="tr-TR"/>
        </w:rPr>
        <w:t>K</w:t>
      </w:r>
      <w:r w:rsidRPr="00E40082">
        <w:rPr>
          <w:rFonts w:ascii="Tahoma" w:eastAsia="Times New Roman" w:hAnsi="Tahoma" w:cs="Tahoma"/>
          <w:sz w:val="20"/>
          <w:szCs w:val="20"/>
          <w:lang w:eastAsia="tr-TR"/>
        </w:rPr>
        <w:t>ararı</w:t>
      </w:r>
      <w:r w:rsidR="00AE5DA5" w:rsidRPr="00E40082">
        <w:rPr>
          <w:rFonts w:ascii="Tahoma" w:eastAsia="Times New Roman" w:hAnsi="Tahoma" w:cs="Tahoma"/>
          <w:sz w:val="20"/>
          <w:szCs w:val="20"/>
          <w:lang w:eastAsia="tr-TR"/>
        </w:rPr>
        <w:t xml:space="preserve">nda </w:t>
      </w:r>
      <w:r w:rsidRPr="00E40082">
        <w:rPr>
          <w:rFonts w:ascii="Tahoma" w:eastAsia="Times New Roman" w:hAnsi="Tahoma" w:cs="Tahoma"/>
          <w:sz w:val="20"/>
          <w:szCs w:val="20"/>
          <w:lang w:eastAsia="tr-TR"/>
        </w:rPr>
        <w:t xml:space="preserve">ise; </w:t>
      </w:r>
      <w:r w:rsidR="00060361" w:rsidRPr="00E40082">
        <w:rPr>
          <w:rFonts w:ascii="Tahoma" w:eastAsia="Times New Roman" w:hAnsi="Tahoma" w:cs="Tahoma"/>
          <w:sz w:val="20"/>
          <w:szCs w:val="20"/>
          <w:lang w:eastAsia="tr-TR"/>
        </w:rPr>
        <w:t>kambiyo mevzuatına aykırı şekilde yapılan dövizli kira sözleşmesin</w:t>
      </w:r>
      <w:r w:rsidR="00AE5DA5" w:rsidRPr="00E40082">
        <w:rPr>
          <w:rFonts w:ascii="Tahoma" w:eastAsia="Times New Roman" w:hAnsi="Tahoma" w:cs="Tahoma"/>
          <w:sz w:val="20"/>
          <w:szCs w:val="20"/>
          <w:lang w:eastAsia="tr-TR"/>
        </w:rPr>
        <w:t xml:space="preserve">in 32/34 sayılı Tebliğe göre yasaklanmış olmasından hareketle buna aykırı sözleşme maddelerinin kamu düzenine aykırılık teşkil ettiği, bu nedenle sözleşmenin bedele ilişkin </w:t>
      </w:r>
      <w:r w:rsidR="00957ECA" w:rsidRPr="00E40082">
        <w:rPr>
          <w:rFonts w:ascii="Tahoma" w:eastAsia="Times New Roman" w:hAnsi="Tahoma" w:cs="Tahoma"/>
          <w:sz w:val="20"/>
          <w:szCs w:val="20"/>
          <w:lang w:eastAsia="tr-TR"/>
        </w:rPr>
        <w:t>bölümünün Türk</w:t>
      </w:r>
      <w:r w:rsidR="00AE5DA5" w:rsidRPr="00E40082">
        <w:rPr>
          <w:rFonts w:ascii="Tahoma" w:eastAsia="Times New Roman" w:hAnsi="Tahoma" w:cs="Tahoma"/>
          <w:sz w:val="20"/>
          <w:szCs w:val="20"/>
          <w:lang w:eastAsia="tr-TR"/>
        </w:rPr>
        <w:t xml:space="preserve"> </w:t>
      </w:r>
      <w:proofErr w:type="gramStart"/>
      <w:r w:rsidR="00AE5DA5" w:rsidRPr="00E40082">
        <w:rPr>
          <w:rFonts w:ascii="Tahoma" w:eastAsia="Times New Roman" w:hAnsi="Tahoma" w:cs="Tahoma"/>
          <w:sz w:val="20"/>
          <w:szCs w:val="20"/>
          <w:lang w:eastAsia="tr-TR"/>
        </w:rPr>
        <w:t>Lirası</w:t>
      </w:r>
      <w:proofErr w:type="gramEnd"/>
      <w:r w:rsidR="00AE5DA5" w:rsidRPr="00E40082">
        <w:rPr>
          <w:rFonts w:ascii="Tahoma" w:eastAsia="Times New Roman" w:hAnsi="Tahoma" w:cs="Tahoma"/>
          <w:sz w:val="20"/>
          <w:szCs w:val="20"/>
          <w:lang w:eastAsia="tr-TR"/>
        </w:rPr>
        <w:t xml:space="preserve"> olarak belirlenmesi gerektiği ve bu tespitin nasıl </w:t>
      </w:r>
      <w:r w:rsidR="000B24A2" w:rsidRPr="00E40082">
        <w:rPr>
          <w:rFonts w:ascii="Tahoma" w:eastAsia="Times New Roman" w:hAnsi="Tahoma" w:cs="Tahoma"/>
          <w:sz w:val="20"/>
          <w:szCs w:val="20"/>
          <w:lang w:eastAsia="tr-TR"/>
        </w:rPr>
        <w:t>yapılması gerektiği</w:t>
      </w:r>
      <w:r w:rsidR="00AE5DA5" w:rsidRPr="00E40082">
        <w:rPr>
          <w:rFonts w:ascii="Tahoma" w:eastAsia="Times New Roman" w:hAnsi="Tahoma" w:cs="Tahoma"/>
          <w:sz w:val="20"/>
          <w:szCs w:val="20"/>
          <w:lang w:eastAsia="tr-TR"/>
        </w:rPr>
        <w:t xml:space="preserve"> ifade edilmiştir.</w:t>
      </w:r>
    </w:p>
    <w:p w14:paraId="2C87D581" w14:textId="417CE8E0" w:rsidR="00A22761" w:rsidRPr="00E40082" w:rsidRDefault="00AE5DA5" w:rsidP="00BD2E57">
      <w:pPr>
        <w:jc w:val="both"/>
        <w:rPr>
          <w:rFonts w:ascii="Tahoma" w:hAnsi="Tahoma" w:cs="Tahoma"/>
          <w:sz w:val="20"/>
          <w:szCs w:val="20"/>
        </w:rPr>
      </w:pPr>
      <w:r w:rsidRPr="00E40082">
        <w:rPr>
          <w:rFonts w:ascii="Tahoma" w:hAnsi="Tahoma" w:cs="Tahoma"/>
          <w:sz w:val="20"/>
          <w:szCs w:val="20"/>
        </w:rPr>
        <w:t xml:space="preserve">Döviz cinsinden kiralamaya getirilen kısıtlama </w:t>
      </w:r>
      <w:r w:rsidR="006A18D7" w:rsidRPr="00E40082">
        <w:rPr>
          <w:rFonts w:ascii="Tahoma" w:hAnsi="Tahoma" w:cs="Tahoma"/>
          <w:sz w:val="20"/>
          <w:szCs w:val="20"/>
        </w:rPr>
        <w:t xml:space="preserve">kambiyo mevzuatında </w:t>
      </w:r>
      <w:r w:rsidRPr="00E40082">
        <w:rPr>
          <w:rFonts w:ascii="Tahoma" w:hAnsi="Tahoma" w:cs="Tahoma"/>
          <w:sz w:val="20"/>
          <w:szCs w:val="20"/>
        </w:rPr>
        <w:t xml:space="preserve">farklı </w:t>
      </w:r>
      <w:r w:rsidR="006A18D7" w:rsidRPr="00E40082">
        <w:rPr>
          <w:rFonts w:ascii="Tahoma" w:hAnsi="Tahoma" w:cs="Tahoma"/>
          <w:sz w:val="20"/>
          <w:szCs w:val="20"/>
        </w:rPr>
        <w:t>b</w:t>
      </w:r>
      <w:r w:rsidRPr="00E40082">
        <w:rPr>
          <w:rFonts w:ascii="Tahoma" w:hAnsi="Tahoma" w:cs="Tahoma"/>
          <w:sz w:val="20"/>
          <w:szCs w:val="20"/>
        </w:rPr>
        <w:t xml:space="preserve">ir yerde düzenlenmiş olmakla birlikte, </w:t>
      </w:r>
      <w:r w:rsidR="00A22761" w:rsidRPr="00E40082">
        <w:rPr>
          <w:rFonts w:ascii="Tahoma" w:hAnsi="Tahoma" w:cs="Tahoma"/>
          <w:sz w:val="20"/>
          <w:szCs w:val="20"/>
        </w:rPr>
        <w:t>benzer</w:t>
      </w:r>
      <w:r w:rsidR="006A18D7" w:rsidRPr="00E40082">
        <w:rPr>
          <w:rFonts w:ascii="Tahoma" w:hAnsi="Tahoma" w:cs="Tahoma"/>
          <w:sz w:val="20"/>
          <w:szCs w:val="20"/>
        </w:rPr>
        <w:t xml:space="preserve"> nitelikte</w:t>
      </w:r>
      <w:r w:rsidR="00A22761" w:rsidRPr="00E40082">
        <w:rPr>
          <w:rFonts w:ascii="Tahoma" w:hAnsi="Tahoma" w:cs="Tahoma"/>
          <w:sz w:val="20"/>
          <w:szCs w:val="20"/>
        </w:rPr>
        <w:t xml:space="preserve"> olduğundan Yargıtay’ın yukarıdaki kararında geçen gerekçeler</w:t>
      </w:r>
      <w:r w:rsidRPr="00E40082">
        <w:rPr>
          <w:rFonts w:ascii="Tahoma" w:hAnsi="Tahoma" w:cs="Tahoma"/>
          <w:sz w:val="20"/>
          <w:szCs w:val="20"/>
        </w:rPr>
        <w:t>i</w:t>
      </w:r>
      <w:r w:rsidR="00A22761" w:rsidRPr="00E40082">
        <w:rPr>
          <w:rFonts w:ascii="Tahoma" w:hAnsi="Tahoma" w:cs="Tahoma"/>
          <w:sz w:val="20"/>
          <w:szCs w:val="20"/>
        </w:rPr>
        <w:t xml:space="preserve">, dövizli borç para verme alma açısından da dikkate alınabilir.  </w:t>
      </w:r>
    </w:p>
    <w:p w14:paraId="0BCCA4BA" w14:textId="2FCDBDD3" w:rsidR="00A22761" w:rsidRPr="00E40082" w:rsidRDefault="00A22761" w:rsidP="00BD2E57">
      <w:pPr>
        <w:jc w:val="both"/>
        <w:rPr>
          <w:rFonts w:ascii="Tahoma" w:hAnsi="Tahoma" w:cs="Tahoma"/>
          <w:sz w:val="20"/>
          <w:szCs w:val="20"/>
        </w:rPr>
      </w:pPr>
      <w:r w:rsidRPr="00E40082">
        <w:rPr>
          <w:rFonts w:ascii="Tahoma" w:hAnsi="Tahoma" w:cs="Tahoma"/>
          <w:sz w:val="20"/>
          <w:szCs w:val="20"/>
        </w:rPr>
        <w:t xml:space="preserve">Sonuç </w:t>
      </w:r>
      <w:r w:rsidR="00957ECA" w:rsidRPr="00E40082">
        <w:rPr>
          <w:rFonts w:ascii="Tahoma" w:hAnsi="Tahoma" w:cs="Tahoma"/>
          <w:sz w:val="20"/>
          <w:szCs w:val="20"/>
        </w:rPr>
        <w:t>olarak; borç</w:t>
      </w:r>
      <w:r w:rsidR="007C4DC7" w:rsidRPr="00E40082">
        <w:rPr>
          <w:rFonts w:ascii="Tahoma" w:hAnsi="Tahoma" w:cs="Tahoma"/>
          <w:sz w:val="20"/>
          <w:szCs w:val="20"/>
        </w:rPr>
        <w:t xml:space="preserve"> para işlemi ile ilgili sözleşmedeki </w:t>
      </w:r>
      <w:proofErr w:type="gramStart"/>
      <w:r w:rsidR="007C4DC7" w:rsidRPr="00E40082">
        <w:rPr>
          <w:rFonts w:ascii="Tahoma" w:hAnsi="Tahoma" w:cs="Tahoma"/>
          <w:sz w:val="20"/>
          <w:szCs w:val="20"/>
        </w:rPr>
        <w:t xml:space="preserve">bedelin  </w:t>
      </w:r>
      <w:r w:rsidRPr="00E40082">
        <w:rPr>
          <w:rFonts w:ascii="Tahoma" w:hAnsi="Tahoma" w:cs="Tahoma"/>
          <w:sz w:val="20"/>
          <w:szCs w:val="20"/>
        </w:rPr>
        <w:t>kambiyo</w:t>
      </w:r>
      <w:proofErr w:type="gramEnd"/>
      <w:r w:rsidRPr="00E40082">
        <w:rPr>
          <w:rFonts w:ascii="Tahoma" w:hAnsi="Tahoma" w:cs="Tahoma"/>
          <w:sz w:val="20"/>
          <w:szCs w:val="20"/>
        </w:rPr>
        <w:t xml:space="preserve"> mevzuatına aykırı şekilde </w:t>
      </w:r>
      <w:r w:rsidR="007C4DC7" w:rsidRPr="00E40082">
        <w:rPr>
          <w:rFonts w:ascii="Tahoma" w:hAnsi="Tahoma" w:cs="Tahoma"/>
          <w:sz w:val="20"/>
          <w:szCs w:val="20"/>
        </w:rPr>
        <w:t xml:space="preserve">döviz cinsinden belirlenmiş olması halinde, bedel ile ilgili </w:t>
      </w:r>
      <w:r w:rsidR="000B24A2" w:rsidRPr="00E40082">
        <w:rPr>
          <w:rFonts w:ascii="Tahoma" w:hAnsi="Tahoma" w:cs="Tahoma"/>
          <w:sz w:val="20"/>
          <w:szCs w:val="20"/>
        </w:rPr>
        <w:t>m</w:t>
      </w:r>
      <w:r w:rsidR="007C4DC7" w:rsidRPr="00E40082">
        <w:rPr>
          <w:rFonts w:ascii="Tahoma" w:hAnsi="Tahoma" w:cs="Tahoma"/>
          <w:sz w:val="20"/>
          <w:szCs w:val="20"/>
        </w:rPr>
        <w:t>adde</w:t>
      </w:r>
      <w:r w:rsidRPr="00E40082">
        <w:rPr>
          <w:rFonts w:ascii="Tahoma" w:hAnsi="Tahoma" w:cs="Tahoma"/>
          <w:sz w:val="20"/>
          <w:szCs w:val="20"/>
        </w:rPr>
        <w:t xml:space="preserve"> kamu düzenine aykırı olduğu gerekçesiyle geçersiz sayılabilir. </w:t>
      </w:r>
    </w:p>
    <w:p w14:paraId="3F0B5156" w14:textId="15C3E09F" w:rsidR="00AE5DA5" w:rsidRPr="00E40082" w:rsidRDefault="006A18D7" w:rsidP="00BD2E57">
      <w:pPr>
        <w:jc w:val="both"/>
        <w:rPr>
          <w:rFonts w:ascii="Tahoma" w:hAnsi="Tahoma" w:cs="Tahoma"/>
          <w:sz w:val="20"/>
          <w:szCs w:val="20"/>
        </w:rPr>
      </w:pPr>
      <w:r w:rsidRPr="00E40082">
        <w:rPr>
          <w:rFonts w:ascii="Tahoma" w:hAnsi="Tahoma" w:cs="Tahoma"/>
          <w:sz w:val="20"/>
          <w:szCs w:val="20"/>
        </w:rPr>
        <w:t xml:space="preserve">Buna </w:t>
      </w:r>
      <w:r w:rsidR="00957ECA" w:rsidRPr="00E40082">
        <w:rPr>
          <w:rFonts w:ascii="Tahoma" w:hAnsi="Tahoma" w:cs="Tahoma"/>
          <w:sz w:val="20"/>
          <w:szCs w:val="20"/>
        </w:rPr>
        <w:t>göre; borç</w:t>
      </w:r>
      <w:r w:rsidR="00AE5DA5" w:rsidRPr="00E40082">
        <w:rPr>
          <w:rFonts w:ascii="Tahoma" w:hAnsi="Tahoma" w:cs="Tahoma"/>
          <w:sz w:val="20"/>
          <w:szCs w:val="20"/>
        </w:rPr>
        <w:t xml:space="preserve"> para işlemindeki sözleşmenin kambiyo mevzuatına aykırı şekilde belirlenmiş olan döviz cinsinden bedeline ait hükmü geçersiz sayılacak ancak, </w:t>
      </w:r>
      <w:r w:rsidR="00957ECA" w:rsidRPr="00E40082">
        <w:rPr>
          <w:rFonts w:ascii="Tahoma" w:hAnsi="Tahoma" w:cs="Tahoma"/>
          <w:sz w:val="20"/>
          <w:szCs w:val="20"/>
        </w:rPr>
        <w:t>Borçlar Kanunu’nun</w:t>
      </w:r>
      <w:r w:rsidR="00AE5DA5" w:rsidRPr="00E40082">
        <w:rPr>
          <w:rFonts w:ascii="Tahoma" w:hAnsi="Tahoma" w:cs="Tahoma"/>
          <w:sz w:val="20"/>
          <w:szCs w:val="20"/>
        </w:rPr>
        <w:t xml:space="preserve"> 27.</w:t>
      </w:r>
      <w:r w:rsidR="000B24A2" w:rsidRPr="00E40082">
        <w:rPr>
          <w:rFonts w:ascii="Tahoma" w:hAnsi="Tahoma" w:cs="Tahoma"/>
          <w:sz w:val="20"/>
          <w:szCs w:val="20"/>
        </w:rPr>
        <w:t>m</w:t>
      </w:r>
      <w:r w:rsidR="00AE5DA5" w:rsidRPr="00E40082">
        <w:rPr>
          <w:rFonts w:ascii="Tahoma" w:hAnsi="Tahoma" w:cs="Tahoma"/>
          <w:sz w:val="20"/>
          <w:szCs w:val="20"/>
        </w:rPr>
        <w:t>addesinin 2.</w:t>
      </w:r>
      <w:r w:rsidR="000B24A2" w:rsidRPr="00E40082">
        <w:rPr>
          <w:rFonts w:ascii="Tahoma" w:hAnsi="Tahoma" w:cs="Tahoma"/>
          <w:sz w:val="20"/>
          <w:szCs w:val="20"/>
        </w:rPr>
        <w:t>f</w:t>
      </w:r>
      <w:r w:rsidR="00AE5DA5" w:rsidRPr="00E40082">
        <w:rPr>
          <w:rFonts w:ascii="Tahoma" w:hAnsi="Tahoma" w:cs="Tahoma"/>
          <w:sz w:val="20"/>
          <w:szCs w:val="20"/>
        </w:rPr>
        <w:t xml:space="preserve">ıkrası </w:t>
      </w:r>
      <w:r w:rsidR="00957ECA" w:rsidRPr="00E40082">
        <w:rPr>
          <w:rFonts w:ascii="Tahoma" w:hAnsi="Tahoma" w:cs="Tahoma"/>
          <w:sz w:val="20"/>
          <w:szCs w:val="20"/>
        </w:rPr>
        <w:t>uyarınca sözleşmenin</w:t>
      </w:r>
      <w:r w:rsidR="00AE5DA5" w:rsidRPr="00E40082">
        <w:rPr>
          <w:rFonts w:ascii="Tahoma" w:hAnsi="Tahoma" w:cs="Tahoma"/>
          <w:sz w:val="20"/>
          <w:szCs w:val="20"/>
        </w:rPr>
        <w:t xml:space="preserve"> tamamı geçersiz </w:t>
      </w:r>
      <w:r w:rsidR="0029798C" w:rsidRPr="00E40082">
        <w:rPr>
          <w:rFonts w:ascii="Tahoma" w:hAnsi="Tahoma" w:cs="Tahoma"/>
          <w:sz w:val="20"/>
          <w:szCs w:val="20"/>
        </w:rPr>
        <w:t xml:space="preserve">olmayıp, diğer maddelerinin geçerliliği etkilenmeyecektir. </w:t>
      </w:r>
      <w:r w:rsidR="00957ECA" w:rsidRPr="00E40082">
        <w:rPr>
          <w:rFonts w:ascii="Tahoma" w:hAnsi="Tahoma" w:cs="Tahoma"/>
          <w:sz w:val="20"/>
          <w:szCs w:val="20"/>
        </w:rPr>
        <w:t>(Vadesi</w:t>
      </w:r>
      <w:r w:rsidR="0029798C" w:rsidRPr="00E40082">
        <w:rPr>
          <w:rFonts w:ascii="Tahoma" w:hAnsi="Tahoma" w:cs="Tahoma"/>
          <w:sz w:val="20"/>
          <w:szCs w:val="20"/>
        </w:rPr>
        <w:t xml:space="preserve">, teminatı vs.) Ancak bu </w:t>
      </w:r>
      <w:r w:rsidR="00957ECA" w:rsidRPr="00E40082">
        <w:rPr>
          <w:rFonts w:ascii="Tahoma" w:hAnsi="Tahoma" w:cs="Tahoma"/>
          <w:sz w:val="20"/>
          <w:szCs w:val="20"/>
        </w:rPr>
        <w:t>durumda; borç</w:t>
      </w:r>
      <w:r w:rsidR="0029798C" w:rsidRPr="00E40082">
        <w:rPr>
          <w:rFonts w:ascii="Tahoma" w:hAnsi="Tahoma" w:cs="Tahoma"/>
          <w:sz w:val="20"/>
          <w:szCs w:val="20"/>
        </w:rPr>
        <w:t xml:space="preserve"> sözleşmesinin döviz cisinden olan bedelinin Türk </w:t>
      </w:r>
      <w:proofErr w:type="gramStart"/>
      <w:r w:rsidR="0029798C" w:rsidRPr="00E40082">
        <w:rPr>
          <w:rFonts w:ascii="Tahoma" w:hAnsi="Tahoma" w:cs="Tahoma"/>
          <w:sz w:val="20"/>
          <w:szCs w:val="20"/>
        </w:rPr>
        <w:t>Lirası</w:t>
      </w:r>
      <w:proofErr w:type="gramEnd"/>
      <w:r w:rsidR="0029798C" w:rsidRPr="00E40082">
        <w:rPr>
          <w:rFonts w:ascii="Tahoma" w:hAnsi="Tahoma" w:cs="Tahoma"/>
          <w:sz w:val="20"/>
          <w:szCs w:val="20"/>
        </w:rPr>
        <w:t xml:space="preserve"> olarak belirlenmesi de gündeme gelecektir.</w:t>
      </w:r>
    </w:p>
    <w:p w14:paraId="52A173F5" w14:textId="3B3382A2" w:rsidR="003A7410" w:rsidRPr="00E40082" w:rsidRDefault="000B24A2" w:rsidP="00BD2E57">
      <w:pPr>
        <w:jc w:val="both"/>
        <w:rPr>
          <w:rFonts w:ascii="Tahoma" w:hAnsi="Tahoma" w:cs="Tahoma"/>
          <w:sz w:val="20"/>
          <w:szCs w:val="20"/>
        </w:rPr>
      </w:pPr>
      <w:r w:rsidRPr="00E40082">
        <w:rPr>
          <w:rFonts w:ascii="Tahoma" w:hAnsi="Tahoma" w:cs="Tahoma"/>
          <w:sz w:val="20"/>
          <w:szCs w:val="20"/>
        </w:rPr>
        <w:lastRenderedPageBreak/>
        <w:t>B</w:t>
      </w:r>
      <w:r w:rsidR="003A7410" w:rsidRPr="00E40082">
        <w:rPr>
          <w:rFonts w:ascii="Tahoma" w:hAnsi="Tahoma" w:cs="Tahoma"/>
          <w:sz w:val="20"/>
          <w:szCs w:val="20"/>
        </w:rPr>
        <w:t>urada 32/34 sayılı Tebliğin 8.</w:t>
      </w:r>
      <w:r w:rsidRPr="00E40082">
        <w:rPr>
          <w:rFonts w:ascii="Tahoma" w:hAnsi="Tahoma" w:cs="Tahoma"/>
          <w:sz w:val="20"/>
          <w:szCs w:val="20"/>
        </w:rPr>
        <w:t>m</w:t>
      </w:r>
      <w:r w:rsidR="003A7410" w:rsidRPr="00E40082">
        <w:rPr>
          <w:rFonts w:ascii="Tahoma" w:hAnsi="Tahoma" w:cs="Tahoma"/>
          <w:sz w:val="20"/>
          <w:szCs w:val="20"/>
        </w:rPr>
        <w:t xml:space="preserve">addesindeki </w:t>
      </w:r>
      <w:r w:rsidR="00957ECA" w:rsidRPr="00E40082">
        <w:rPr>
          <w:rFonts w:ascii="Tahoma" w:hAnsi="Tahoma" w:cs="Tahoma"/>
          <w:sz w:val="20"/>
          <w:szCs w:val="20"/>
        </w:rPr>
        <w:t>gibi bir</w:t>
      </w:r>
      <w:r w:rsidR="003A7410" w:rsidRPr="00E40082">
        <w:rPr>
          <w:rFonts w:ascii="Tahoma" w:hAnsi="Tahoma" w:cs="Tahoma"/>
          <w:sz w:val="20"/>
          <w:szCs w:val="20"/>
        </w:rPr>
        <w:t xml:space="preserve"> düzenleme mevcut değildir. Diğer bir ifadeyle; 32/34 sayılı Tebliğin 8.</w:t>
      </w:r>
      <w:r w:rsidRPr="00E40082">
        <w:rPr>
          <w:rFonts w:ascii="Tahoma" w:hAnsi="Tahoma" w:cs="Tahoma"/>
          <w:sz w:val="20"/>
          <w:szCs w:val="20"/>
        </w:rPr>
        <w:t>m</w:t>
      </w:r>
      <w:r w:rsidR="003A7410" w:rsidRPr="00E40082">
        <w:rPr>
          <w:rFonts w:ascii="Tahoma" w:hAnsi="Tahoma" w:cs="Tahoma"/>
          <w:sz w:val="20"/>
          <w:szCs w:val="20"/>
        </w:rPr>
        <w:t xml:space="preserve">addesindeki dövizli işlemlerle ilgili sınırlamalara uyulmaması halinde bedelin Türk </w:t>
      </w:r>
      <w:proofErr w:type="gramStart"/>
      <w:r w:rsidR="003A7410" w:rsidRPr="00E40082">
        <w:rPr>
          <w:rFonts w:ascii="Tahoma" w:hAnsi="Tahoma" w:cs="Tahoma"/>
          <w:sz w:val="20"/>
          <w:szCs w:val="20"/>
        </w:rPr>
        <w:t>Lirası</w:t>
      </w:r>
      <w:proofErr w:type="gramEnd"/>
      <w:r w:rsidR="003A7410" w:rsidRPr="00E40082">
        <w:rPr>
          <w:rFonts w:ascii="Tahoma" w:hAnsi="Tahoma" w:cs="Tahoma"/>
          <w:sz w:val="20"/>
          <w:szCs w:val="20"/>
        </w:rPr>
        <w:t xml:space="preserve"> olarak nasıl tespit edileceği </w:t>
      </w:r>
      <w:r w:rsidR="006A18D7" w:rsidRPr="00E40082">
        <w:rPr>
          <w:rFonts w:ascii="Tahoma" w:hAnsi="Tahoma" w:cs="Tahoma"/>
          <w:sz w:val="20"/>
          <w:szCs w:val="20"/>
        </w:rPr>
        <w:t xml:space="preserve">aynı </w:t>
      </w:r>
      <w:r w:rsidRPr="00E40082">
        <w:rPr>
          <w:rFonts w:ascii="Tahoma" w:hAnsi="Tahoma" w:cs="Tahoma"/>
          <w:sz w:val="20"/>
          <w:szCs w:val="20"/>
        </w:rPr>
        <w:t>m</w:t>
      </w:r>
      <w:r w:rsidR="006A18D7" w:rsidRPr="00E40082">
        <w:rPr>
          <w:rFonts w:ascii="Tahoma" w:hAnsi="Tahoma" w:cs="Tahoma"/>
          <w:sz w:val="20"/>
          <w:szCs w:val="20"/>
        </w:rPr>
        <w:t xml:space="preserve">addede </w:t>
      </w:r>
      <w:r w:rsidR="003A7410" w:rsidRPr="00E40082">
        <w:rPr>
          <w:rFonts w:ascii="Tahoma" w:hAnsi="Tahoma" w:cs="Tahoma"/>
          <w:sz w:val="20"/>
          <w:szCs w:val="20"/>
        </w:rPr>
        <w:t xml:space="preserve">belirlenmiştir. Buna karşılık, döviz cinsinden borçlanmayla ilgili kısıtlamaya uyulmaması halinde borca ait bedelin ne şekilde Türk </w:t>
      </w:r>
      <w:proofErr w:type="gramStart"/>
      <w:r w:rsidR="003A7410" w:rsidRPr="00E40082">
        <w:rPr>
          <w:rFonts w:ascii="Tahoma" w:hAnsi="Tahoma" w:cs="Tahoma"/>
          <w:sz w:val="20"/>
          <w:szCs w:val="20"/>
        </w:rPr>
        <w:t>Lirasına</w:t>
      </w:r>
      <w:proofErr w:type="gramEnd"/>
      <w:r w:rsidR="003A7410" w:rsidRPr="00E40082">
        <w:rPr>
          <w:rFonts w:ascii="Tahoma" w:hAnsi="Tahoma" w:cs="Tahoma"/>
          <w:sz w:val="20"/>
          <w:szCs w:val="20"/>
        </w:rPr>
        <w:t xml:space="preserve"> dönüştürüleceğine dair bir düzenleme bulunmamaktadır. Burada sadece, ana para değil faizin de dikkate alınması gerekebilir. </w:t>
      </w:r>
      <w:r w:rsidR="00957ECA" w:rsidRPr="00E40082">
        <w:rPr>
          <w:rFonts w:ascii="Tahoma" w:hAnsi="Tahoma" w:cs="Tahoma"/>
          <w:sz w:val="20"/>
          <w:szCs w:val="20"/>
        </w:rPr>
        <w:t>Zira; döviz</w:t>
      </w:r>
      <w:r w:rsidR="003A7410" w:rsidRPr="00E40082">
        <w:rPr>
          <w:rFonts w:ascii="Tahoma" w:hAnsi="Tahoma" w:cs="Tahoma"/>
          <w:sz w:val="20"/>
          <w:szCs w:val="20"/>
        </w:rPr>
        <w:t xml:space="preserve"> cinsinden bedelin belirlenmesinin nedenleri arasında paranın değerinin enflasyona karşı korunması </w:t>
      </w:r>
      <w:proofErr w:type="gramStart"/>
      <w:r w:rsidR="003A7410" w:rsidRPr="00E40082">
        <w:rPr>
          <w:rFonts w:ascii="Tahoma" w:hAnsi="Tahoma" w:cs="Tahoma"/>
          <w:sz w:val="20"/>
          <w:szCs w:val="20"/>
        </w:rPr>
        <w:t>da  sayılabilir</w:t>
      </w:r>
      <w:proofErr w:type="gramEnd"/>
      <w:r w:rsidR="003A7410" w:rsidRPr="00E40082">
        <w:rPr>
          <w:rFonts w:ascii="Tahoma" w:hAnsi="Tahoma" w:cs="Tahoma"/>
          <w:sz w:val="20"/>
          <w:szCs w:val="20"/>
        </w:rPr>
        <w:t xml:space="preserve">. Peki, faiz neye göre tespit edilecektir? Burada öncelik özel hukuka göre kişiler arasındaki borç alacak ilişkisinin hakkaniyete uygun şekilde düzenlenmesi olmalıdır. Yargı bu konuda re’sen karar verebilir mi? </w:t>
      </w:r>
      <w:proofErr w:type="gramStart"/>
      <w:r w:rsidR="003A7410" w:rsidRPr="00E40082">
        <w:rPr>
          <w:rFonts w:ascii="Tahoma" w:hAnsi="Tahoma" w:cs="Tahoma"/>
          <w:sz w:val="20"/>
          <w:szCs w:val="20"/>
        </w:rPr>
        <w:t>Yada</w:t>
      </w:r>
      <w:proofErr w:type="gramEnd"/>
      <w:r w:rsidR="003A7410" w:rsidRPr="00E40082">
        <w:rPr>
          <w:rFonts w:ascii="Tahoma" w:hAnsi="Tahoma" w:cs="Tahoma"/>
          <w:sz w:val="20"/>
          <w:szCs w:val="20"/>
        </w:rPr>
        <w:t>, ihtil</w:t>
      </w:r>
      <w:r w:rsidR="006A18D7" w:rsidRPr="00E40082">
        <w:rPr>
          <w:rFonts w:ascii="Tahoma" w:hAnsi="Tahoma" w:cs="Tahoma"/>
          <w:sz w:val="20"/>
          <w:szCs w:val="20"/>
        </w:rPr>
        <w:t>a</w:t>
      </w:r>
      <w:r w:rsidR="003A7410" w:rsidRPr="00E40082">
        <w:rPr>
          <w:rFonts w:ascii="Tahoma" w:hAnsi="Tahoma" w:cs="Tahoma"/>
          <w:sz w:val="20"/>
          <w:szCs w:val="20"/>
        </w:rPr>
        <w:t xml:space="preserve">f çıkmadığı için adli mahkemelere intikal etmeyen bir hususta kararı kime bırakacağız? Vergi inceleme elemanlarının </w:t>
      </w:r>
      <w:r w:rsidR="00957ECA" w:rsidRPr="00E40082">
        <w:rPr>
          <w:rFonts w:ascii="Tahoma" w:hAnsi="Tahoma" w:cs="Tahoma"/>
          <w:sz w:val="20"/>
          <w:szCs w:val="20"/>
        </w:rPr>
        <w:t>yetkisi Devletin</w:t>
      </w:r>
      <w:r w:rsidR="003A7410" w:rsidRPr="00E40082">
        <w:rPr>
          <w:rFonts w:ascii="Tahoma" w:hAnsi="Tahoma" w:cs="Tahoma"/>
          <w:sz w:val="20"/>
          <w:szCs w:val="20"/>
        </w:rPr>
        <w:t xml:space="preserve"> vergi alacağı ile sınırlıdır. Vergi idaresi; kişilerin arasındaki işlemlerden doğan</w:t>
      </w:r>
      <w:r w:rsidR="006A18D7" w:rsidRPr="00E40082">
        <w:rPr>
          <w:rFonts w:ascii="Tahoma" w:hAnsi="Tahoma" w:cs="Tahoma"/>
          <w:sz w:val="20"/>
          <w:szCs w:val="20"/>
        </w:rPr>
        <w:t xml:space="preserve"> birbirlerine karşı</w:t>
      </w:r>
      <w:r w:rsidR="003A7410" w:rsidRPr="00E40082">
        <w:rPr>
          <w:rFonts w:ascii="Tahoma" w:hAnsi="Tahoma" w:cs="Tahoma"/>
          <w:sz w:val="20"/>
          <w:szCs w:val="20"/>
        </w:rPr>
        <w:t xml:space="preserve"> haklarını, alacak ve borçlarını düzenleyemez. </w:t>
      </w:r>
    </w:p>
    <w:p w14:paraId="02A1AE74" w14:textId="2483FFB2" w:rsidR="003A7410" w:rsidRPr="00E40082" w:rsidRDefault="000B24A2" w:rsidP="00BD2E57">
      <w:pPr>
        <w:spacing w:after="0"/>
        <w:jc w:val="both"/>
        <w:rPr>
          <w:rFonts w:ascii="Tahoma" w:eastAsia="Times New Roman" w:hAnsi="Tahoma" w:cs="Tahoma"/>
          <w:sz w:val="20"/>
          <w:szCs w:val="20"/>
          <w:lang w:eastAsia="tr-TR"/>
        </w:rPr>
      </w:pPr>
      <w:r w:rsidRPr="00E40082">
        <w:rPr>
          <w:rFonts w:ascii="Tahoma" w:hAnsi="Tahoma" w:cs="Tahoma"/>
          <w:sz w:val="20"/>
          <w:szCs w:val="20"/>
        </w:rPr>
        <w:t>Bu şekilde hareket edildiğinde; ş</w:t>
      </w:r>
      <w:r w:rsidR="003A7410" w:rsidRPr="00E40082">
        <w:rPr>
          <w:rFonts w:ascii="Tahoma" w:hAnsi="Tahoma" w:cs="Tahoma"/>
          <w:sz w:val="20"/>
          <w:szCs w:val="20"/>
        </w:rPr>
        <w:t xml:space="preserve">irkete döviz cinsinden borç verenin gerçek kişi olması durumunda sadece şirket bakımından değil, gerçek kişi açısından da vergisel sonuçlar doğacaktır. Faiz alınması </w:t>
      </w:r>
      <w:r w:rsidR="006A765D" w:rsidRPr="00E40082">
        <w:rPr>
          <w:rFonts w:ascii="Tahoma" w:hAnsi="Tahoma" w:cs="Tahoma"/>
          <w:sz w:val="20"/>
          <w:szCs w:val="20"/>
        </w:rPr>
        <w:t>halinde gerçek</w:t>
      </w:r>
      <w:r w:rsidR="003A7410" w:rsidRPr="00E40082">
        <w:rPr>
          <w:rFonts w:ascii="Tahoma" w:hAnsi="Tahoma" w:cs="Tahoma"/>
          <w:sz w:val="20"/>
          <w:szCs w:val="20"/>
        </w:rPr>
        <w:t xml:space="preserve"> kişi bünyesinde vergileme yapılacağı </w:t>
      </w:r>
      <w:r w:rsidR="006A765D" w:rsidRPr="00E40082">
        <w:rPr>
          <w:rFonts w:ascii="Tahoma" w:hAnsi="Tahoma" w:cs="Tahoma"/>
          <w:sz w:val="20"/>
          <w:szCs w:val="20"/>
        </w:rPr>
        <w:t>gibi, faiz</w:t>
      </w:r>
      <w:r w:rsidR="003A7410" w:rsidRPr="00E40082">
        <w:rPr>
          <w:rFonts w:ascii="Tahoma" w:hAnsi="Tahoma" w:cs="Tahoma"/>
          <w:sz w:val="20"/>
          <w:szCs w:val="20"/>
        </w:rPr>
        <w:t xml:space="preserve"> karşılığı borç para vermeye </w:t>
      </w:r>
      <w:proofErr w:type="gramStart"/>
      <w:r w:rsidR="003A7410" w:rsidRPr="00E40082">
        <w:rPr>
          <w:rFonts w:ascii="Tahoma" w:hAnsi="Tahoma" w:cs="Tahoma"/>
          <w:sz w:val="20"/>
          <w:szCs w:val="20"/>
        </w:rPr>
        <w:t>bağlı  olarak</w:t>
      </w:r>
      <w:proofErr w:type="gramEnd"/>
      <w:r w:rsidR="003A7410" w:rsidRPr="00E40082">
        <w:rPr>
          <w:rFonts w:ascii="Tahoma" w:hAnsi="Tahoma" w:cs="Tahoma"/>
          <w:sz w:val="20"/>
          <w:szCs w:val="20"/>
        </w:rPr>
        <w:t xml:space="preserve"> vergi dışındaki Kanunlardaki müeyyidelerin de uygulanması gündeme gelebilir. (6361 sayılı </w:t>
      </w:r>
      <w:r w:rsidR="003A7410" w:rsidRPr="00E40082">
        <w:rPr>
          <w:rFonts w:ascii="Tahoma" w:eastAsia="Times New Roman" w:hAnsi="Tahoma" w:cs="Tahoma"/>
          <w:sz w:val="20"/>
          <w:szCs w:val="20"/>
          <w:lang w:eastAsia="tr-TR"/>
        </w:rPr>
        <w:t xml:space="preserve">Finansal Kiralama, Faktoring </w:t>
      </w:r>
      <w:proofErr w:type="gramStart"/>
      <w:r w:rsidR="003A7410" w:rsidRPr="00E40082">
        <w:rPr>
          <w:rFonts w:ascii="Tahoma" w:eastAsia="Times New Roman" w:hAnsi="Tahoma" w:cs="Tahoma"/>
          <w:sz w:val="20"/>
          <w:szCs w:val="20"/>
          <w:lang w:eastAsia="tr-TR"/>
        </w:rPr>
        <w:t>Ve</w:t>
      </w:r>
      <w:proofErr w:type="gramEnd"/>
      <w:r w:rsidR="003A7410" w:rsidRPr="00E40082">
        <w:rPr>
          <w:rFonts w:ascii="Tahoma" w:eastAsia="Times New Roman" w:hAnsi="Tahoma" w:cs="Tahoma"/>
          <w:sz w:val="20"/>
          <w:szCs w:val="20"/>
          <w:lang w:eastAsia="tr-TR"/>
        </w:rPr>
        <w:t xml:space="preserve"> </w:t>
      </w:r>
      <w:r w:rsidR="006A765D" w:rsidRPr="00E40082">
        <w:rPr>
          <w:rFonts w:ascii="Tahoma" w:eastAsia="Times New Roman" w:hAnsi="Tahoma" w:cs="Tahoma"/>
          <w:sz w:val="20"/>
          <w:szCs w:val="20"/>
          <w:lang w:eastAsia="tr-TR"/>
        </w:rPr>
        <w:t>Finansman Şirketleri</w:t>
      </w:r>
      <w:r w:rsidR="003A7410" w:rsidRPr="00E40082">
        <w:rPr>
          <w:rFonts w:ascii="Tahoma" w:eastAsia="Times New Roman" w:hAnsi="Tahoma" w:cs="Tahoma"/>
          <w:sz w:val="20"/>
          <w:szCs w:val="20"/>
          <w:lang w:eastAsia="tr-TR"/>
        </w:rPr>
        <w:t xml:space="preserve"> Kanunu ve 5411 sayılı Bankacılık Kanununun ihlal edildiği durumlar)</w:t>
      </w:r>
    </w:p>
    <w:p w14:paraId="125874C2" w14:textId="77777777" w:rsidR="003A7410" w:rsidRPr="00E40082" w:rsidRDefault="003A7410" w:rsidP="00BD2E57">
      <w:pPr>
        <w:spacing w:after="0"/>
        <w:jc w:val="both"/>
        <w:rPr>
          <w:rFonts w:ascii="Tahoma" w:eastAsia="Times New Roman" w:hAnsi="Tahoma" w:cs="Tahoma"/>
          <w:sz w:val="20"/>
          <w:szCs w:val="20"/>
          <w:lang w:eastAsia="tr-TR"/>
        </w:rPr>
      </w:pPr>
    </w:p>
    <w:p w14:paraId="6FAFD06B" w14:textId="31412558" w:rsidR="003A7410" w:rsidRPr="00E40082" w:rsidRDefault="003A7410" w:rsidP="00BD2E57">
      <w:pPr>
        <w:spacing w:after="0"/>
        <w:jc w:val="both"/>
        <w:rPr>
          <w:rFonts w:ascii="Tahoma" w:eastAsia="Times New Roman" w:hAnsi="Tahoma" w:cs="Tahoma"/>
          <w:sz w:val="20"/>
          <w:szCs w:val="20"/>
          <w:lang w:eastAsia="tr-TR"/>
        </w:rPr>
      </w:pPr>
      <w:r w:rsidRPr="00E40082">
        <w:rPr>
          <w:rFonts w:ascii="Tahoma" w:eastAsia="Times New Roman" w:hAnsi="Tahoma" w:cs="Tahoma"/>
          <w:sz w:val="20"/>
          <w:szCs w:val="20"/>
          <w:lang w:eastAsia="tr-TR"/>
        </w:rPr>
        <w:t>Şirketler arasında döviz cinsinden borç para verme</w:t>
      </w:r>
      <w:r w:rsidR="00267B15" w:rsidRPr="00E40082">
        <w:rPr>
          <w:rFonts w:ascii="Tahoma" w:eastAsia="Times New Roman" w:hAnsi="Tahoma" w:cs="Tahoma"/>
          <w:sz w:val="20"/>
          <w:szCs w:val="20"/>
          <w:lang w:eastAsia="tr-TR"/>
        </w:rPr>
        <w:t xml:space="preserve"> </w:t>
      </w:r>
      <w:r w:rsidR="006A765D" w:rsidRPr="00E40082">
        <w:rPr>
          <w:rFonts w:ascii="Tahoma" w:eastAsia="Times New Roman" w:hAnsi="Tahoma" w:cs="Tahoma"/>
          <w:sz w:val="20"/>
          <w:szCs w:val="20"/>
          <w:lang w:eastAsia="tr-TR"/>
        </w:rPr>
        <w:t>durumunda, alacağın</w:t>
      </w:r>
      <w:r w:rsidR="00267B15" w:rsidRPr="00E40082">
        <w:rPr>
          <w:rFonts w:ascii="Tahoma" w:eastAsia="Times New Roman" w:hAnsi="Tahoma" w:cs="Tahoma"/>
          <w:sz w:val="20"/>
          <w:szCs w:val="20"/>
          <w:lang w:eastAsia="tr-TR"/>
        </w:rPr>
        <w:t xml:space="preserve"> Türk </w:t>
      </w:r>
      <w:proofErr w:type="gramStart"/>
      <w:r w:rsidR="00267B15" w:rsidRPr="00E40082">
        <w:rPr>
          <w:rFonts w:ascii="Tahoma" w:eastAsia="Times New Roman" w:hAnsi="Tahoma" w:cs="Tahoma"/>
          <w:sz w:val="20"/>
          <w:szCs w:val="20"/>
          <w:lang w:eastAsia="tr-TR"/>
        </w:rPr>
        <w:t>Lirasına</w:t>
      </w:r>
      <w:proofErr w:type="gramEnd"/>
      <w:r w:rsidR="00267B15" w:rsidRPr="00E40082">
        <w:rPr>
          <w:rFonts w:ascii="Tahoma" w:eastAsia="Times New Roman" w:hAnsi="Tahoma" w:cs="Tahoma"/>
          <w:sz w:val="20"/>
          <w:szCs w:val="20"/>
          <w:lang w:eastAsia="tr-TR"/>
        </w:rPr>
        <w:t xml:space="preserve"> çevrilmesinden sonra Kurumlar Vergisi Kanununun transfer fiyatlandırması yoluyla örtülü kazanç dağıtımı hükümleri ve KDV Kanununun emsal bedel Maddesine göre de emsallere uygunluk ilkesine göre faiz hesaplanması gerek</w:t>
      </w:r>
      <w:r w:rsidR="000B24A2" w:rsidRPr="00E40082">
        <w:rPr>
          <w:rFonts w:ascii="Tahoma" w:eastAsia="Times New Roman" w:hAnsi="Tahoma" w:cs="Tahoma"/>
          <w:sz w:val="20"/>
          <w:szCs w:val="20"/>
          <w:lang w:eastAsia="tr-TR"/>
        </w:rPr>
        <w:t>ecektir.</w:t>
      </w:r>
      <w:r w:rsidR="006A18D7" w:rsidRPr="00E40082">
        <w:rPr>
          <w:rFonts w:ascii="Tahoma" w:eastAsia="Times New Roman" w:hAnsi="Tahoma" w:cs="Tahoma"/>
          <w:sz w:val="20"/>
          <w:szCs w:val="20"/>
          <w:lang w:eastAsia="tr-TR"/>
        </w:rPr>
        <w:t xml:space="preserve"> </w:t>
      </w:r>
    </w:p>
    <w:p w14:paraId="35FC81F1" w14:textId="77777777" w:rsidR="00267B15" w:rsidRPr="00E40082" w:rsidRDefault="00267B15" w:rsidP="00BD2E57">
      <w:pPr>
        <w:spacing w:after="0"/>
        <w:jc w:val="both"/>
        <w:rPr>
          <w:rFonts w:ascii="Tahoma" w:eastAsia="Times New Roman" w:hAnsi="Tahoma" w:cs="Tahoma"/>
          <w:sz w:val="20"/>
          <w:szCs w:val="20"/>
          <w:lang w:eastAsia="tr-TR"/>
        </w:rPr>
      </w:pPr>
    </w:p>
    <w:p w14:paraId="4B870F19" w14:textId="0BBAF36F" w:rsidR="00267B15" w:rsidRPr="00E40082" w:rsidRDefault="00267B15" w:rsidP="00BD2E57">
      <w:pPr>
        <w:spacing w:after="0"/>
        <w:jc w:val="both"/>
        <w:rPr>
          <w:rFonts w:ascii="Tahoma" w:eastAsia="Times New Roman" w:hAnsi="Tahoma" w:cs="Tahoma"/>
          <w:sz w:val="20"/>
          <w:szCs w:val="20"/>
          <w:lang w:eastAsia="tr-TR"/>
        </w:rPr>
      </w:pPr>
      <w:r w:rsidRPr="00E40082">
        <w:rPr>
          <w:rFonts w:ascii="Tahoma" w:eastAsia="Times New Roman" w:hAnsi="Tahoma" w:cs="Tahoma"/>
          <w:sz w:val="20"/>
          <w:szCs w:val="20"/>
          <w:lang w:eastAsia="tr-TR"/>
        </w:rPr>
        <w:t xml:space="preserve">Burada diğer bir sorun da Türk Ceza Kanunundaki konuyla ilgili hükümlerdir. </w:t>
      </w:r>
      <w:proofErr w:type="gramStart"/>
      <w:r w:rsidRPr="00E40082">
        <w:rPr>
          <w:rFonts w:ascii="Tahoma" w:eastAsia="Times New Roman" w:hAnsi="Tahoma" w:cs="Tahoma"/>
          <w:sz w:val="20"/>
          <w:szCs w:val="20"/>
          <w:lang w:eastAsia="tr-TR"/>
        </w:rPr>
        <w:t>Türk Ceza Kanununun</w:t>
      </w:r>
      <w:proofErr w:type="gramEnd"/>
      <w:r w:rsidRPr="00E40082">
        <w:rPr>
          <w:rFonts w:ascii="Tahoma" w:eastAsia="Times New Roman" w:hAnsi="Tahoma" w:cs="Tahoma"/>
          <w:sz w:val="20"/>
          <w:szCs w:val="20"/>
          <w:lang w:eastAsia="tr-TR"/>
        </w:rPr>
        <w:t xml:space="preserve"> 241.Maddesinin 2.Fıkrası aşağıdaki şekildedir:</w:t>
      </w:r>
    </w:p>
    <w:p w14:paraId="5A6A1612" w14:textId="77777777" w:rsidR="00267B15" w:rsidRPr="00E40082" w:rsidRDefault="00267B15" w:rsidP="00BD2E57">
      <w:pPr>
        <w:spacing w:after="0"/>
        <w:jc w:val="both"/>
        <w:rPr>
          <w:rFonts w:ascii="Tahoma" w:eastAsia="Times New Roman" w:hAnsi="Tahoma" w:cs="Tahoma"/>
          <w:sz w:val="20"/>
          <w:szCs w:val="20"/>
          <w:lang w:eastAsia="tr-TR"/>
        </w:rPr>
      </w:pPr>
    </w:p>
    <w:p w14:paraId="38467252" w14:textId="3D83C828" w:rsidR="00267B15" w:rsidRPr="00E40082" w:rsidRDefault="00267B15" w:rsidP="00BD2E57">
      <w:pPr>
        <w:jc w:val="both"/>
        <w:rPr>
          <w:rFonts w:ascii="Tahoma" w:hAnsi="Tahoma" w:cs="Tahoma"/>
          <w:i/>
          <w:iCs/>
          <w:sz w:val="20"/>
          <w:szCs w:val="20"/>
        </w:rPr>
      </w:pPr>
      <w:r w:rsidRPr="00E40082">
        <w:rPr>
          <w:rFonts w:ascii="Tahoma" w:hAnsi="Tahoma" w:cs="Tahoma"/>
          <w:i/>
          <w:iCs/>
          <w:sz w:val="20"/>
          <w:szCs w:val="20"/>
        </w:rPr>
        <w:t xml:space="preserve">“(1) Kazanç elde etmek amacıyla başkasına ödünç para veren kişi, iki yıldan altı yıla kadar hapis ve </w:t>
      </w:r>
      <w:r w:rsidR="00BE0498" w:rsidRPr="00E40082">
        <w:rPr>
          <w:rFonts w:ascii="Tahoma" w:hAnsi="Tahoma" w:cs="Tahoma"/>
          <w:i/>
          <w:iCs/>
          <w:sz w:val="20"/>
          <w:szCs w:val="20"/>
        </w:rPr>
        <w:t>beş yüz</w:t>
      </w:r>
      <w:r w:rsidRPr="00E40082">
        <w:rPr>
          <w:rFonts w:ascii="Tahoma" w:hAnsi="Tahoma" w:cs="Tahoma"/>
          <w:i/>
          <w:iCs/>
          <w:sz w:val="20"/>
          <w:szCs w:val="20"/>
        </w:rPr>
        <w:t xml:space="preserve"> günden beşbin güne kadar adlî para cezası ile cezalandırılır.”</w:t>
      </w:r>
    </w:p>
    <w:p w14:paraId="1C6ABD3A" w14:textId="108AE913" w:rsidR="003A7410" w:rsidRPr="00E40082" w:rsidRDefault="00BE0498" w:rsidP="00BD2E57">
      <w:pPr>
        <w:jc w:val="both"/>
        <w:rPr>
          <w:rFonts w:ascii="Tahoma" w:hAnsi="Tahoma" w:cs="Tahoma"/>
          <w:sz w:val="20"/>
          <w:szCs w:val="20"/>
        </w:rPr>
      </w:pPr>
      <w:r w:rsidRPr="00E40082">
        <w:rPr>
          <w:rFonts w:ascii="Tahoma" w:hAnsi="Tahoma" w:cs="Tahoma"/>
          <w:sz w:val="20"/>
          <w:szCs w:val="20"/>
        </w:rPr>
        <w:t>Kısaca; dövizli</w:t>
      </w:r>
      <w:r w:rsidR="00267B15" w:rsidRPr="00E40082">
        <w:rPr>
          <w:rFonts w:ascii="Tahoma" w:hAnsi="Tahoma" w:cs="Tahoma"/>
          <w:sz w:val="20"/>
          <w:szCs w:val="20"/>
        </w:rPr>
        <w:t xml:space="preserve"> borç para verme alma kısıtlamasına uyulmaması halinde </w:t>
      </w:r>
      <w:r w:rsidRPr="00E40082">
        <w:rPr>
          <w:rFonts w:ascii="Tahoma" w:hAnsi="Tahoma" w:cs="Tahoma"/>
          <w:sz w:val="20"/>
          <w:szCs w:val="20"/>
        </w:rPr>
        <w:t>ne şekilde</w:t>
      </w:r>
      <w:r w:rsidR="00267B15" w:rsidRPr="00E40082">
        <w:rPr>
          <w:rFonts w:ascii="Tahoma" w:hAnsi="Tahoma" w:cs="Tahoma"/>
          <w:sz w:val="20"/>
          <w:szCs w:val="20"/>
        </w:rPr>
        <w:t xml:space="preserve"> hareket edilmesi gerektiği </w:t>
      </w:r>
      <w:r w:rsidRPr="00E40082">
        <w:rPr>
          <w:rFonts w:ascii="Tahoma" w:hAnsi="Tahoma" w:cs="Tahoma"/>
          <w:sz w:val="20"/>
          <w:szCs w:val="20"/>
        </w:rPr>
        <w:t>hususu</w:t>
      </w:r>
      <w:r w:rsidR="00267B15" w:rsidRPr="00E40082">
        <w:rPr>
          <w:rFonts w:ascii="Tahoma" w:hAnsi="Tahoma" w:cs="Tahoma"/>
          <w:sz w:val="20"/>
          <w:szCs w:val="20"/>
        </w:rPr>
        <w:t xml:space="preserve"> hem vergi kanunları açısından hem de diğer kanunlar açısından sorunlar oluşturmaktadır.</w:t>
      </w:r>
    </w:p>
    <w:p w14:paraId="4AD2CE94" w14:textId="57CEF312" w:rsidR="00060361" w:rsidRPr="00E40082" w:rsidRDefault="00007B83" w:rsidP="00BD2E57">
      <w:pPr>
        <w:jc w:val="both"/>
        <w:rPr>
          <w:rFonts w:ascii="Tahoma" w:eastAsia="Times New Roman" w:hAnsi="Tahoma" w:cs="Tahoma"/>
          <w:sz w:val="20"/>
          <w:szCs w:val="20"/>
          <w:lang w:eastAsia="tr-TR"/>
        </w:rPr>
      </w:pPr>
      <w:r w:rsidRPr="00E40082">
        <w:rPr>
          <w:rFonts w:ascii="Tahoma" w:hAnsi="Tahoma" w:cs="Tahoma"/>
          <w:b/>
          <w:bCs/>
          <w:sz w:val="20"/>
          <w:szCs w:val="20"/>
          <w:u w:val="single"/>
        </w:rPr>
        <w:t>Dövizli Borca Ait Kur Farkı Giderinin KKEG Olacağı Görüşü:</w:t>
      </w:r>
    </w:p>
    <w:p w14:paraId="509CB7F7" w14:textId="431289A1" w:rsidR="006A18D7" w:rsidRPr="00E40082" w:rsidRDefault="00007B83" w:rsidP="00BD2E57">
      <w:pPr>
        <w:jc w:val="both"/>
        <w:rPr>
          <w:rFonts w:ascii="Tahoma" w:eastAsia="Times New Roman" w:hAnsi="Tahoma" w:cs="Tahoma"/>
          <w:sz w:val="20"/>
          <w:szCs w:val="20"/>
          <w:lang w:eastAsia="tr-TR"/>
        </w:rPr>
      </w:pPr>
      <w:r w:rsidRPr="00E40082">
        <w:rPr>
          <w:rFonts w:ascii="Tahoma" w:eastAsia="Times New Roman" w:hAnsi="Tahoma" w:cs="Tahoma"/>
          <w:sz w:val="20"/>
          <w:szCs w:val="20"/>
          <w:lang w:eastAsia="tr-TR"/>
        </w:rPr>
        <w:t>Kurumlar Vergisi Genel Tebliğinin aşağıdaki bölümünü dayanak göstererek bunu iddia edenler mevcuttur:</w:t>
      </w:r>
    </w:p>
    <w:p w14:paraId="29E14206" w14:textId="77777777" w:rsidR="00007B83" w:rsidRPr="00E40082" w:rsidRDefault="00007B83" w:rsidP="00BD2E57">
      <w:pPr>
        <w:jc w:val="both"/>
        <w:rPr>
          <w:rFonts w:ascii="Tahoma" w:hAnsi="Tahoma" w:cs="Tahoma"/>
          <w:b/>
          <w:bCs/>
          <w:sz w:val="20"/>
          <w:szCs w:val="20"/>
        </w:rPr>
      </w:pPr>
      <w:r w:rsidRPr="00E40082">
        <w:rPr>
          <w:rFonts w:ascii="Tahoma" w:hAnsi="Tahoma" w:cs="Tahoma"/>
          <w:b/>
          <w:bCs/>
          <w:sz w:val="20"/>
          <w:szCs w:val="20"/>
        </w:rPr>
        <w:t>Kurumlar Vergisi Kanunu Genel Tebliği:</w:t>
      </w:r>
    </w:p>
    <w:p w14:paraId="41AE9EE5" w14:textId="77777777" w:rsidR="00007B83" w:rsidRPr="00E40082" w:rsidRDefault="00007B83" w:rsidP="00BD2E57">
      <w:pPr>
        <w:jc w:val="both"/>
        <w:rPr>
          <w:rFonts w:ascii="Tahoma" w:hAnsi="Tahoma" w:cs="Tahoma"/>
          <w:b/>
          <w:bCs/>
          <w:i/>
          <w:iCs/>
          <w:sz w:val="20"/>
          <w:szCs w:val="20"/>
        </w:rPr>
      </w:pPr>
      <w:r w:rsidRPr="00E40082">
        <w:rPr>
          <w:rFonts w:ascii="Tahoma" w:hAnsi="Tahoma" w:cs="Tahoma"/>
          <w:b/>
          <w:bCs/>
          <w:i/>
          <w:iCs/>
          <w:sz w:val="20"/>
          <w:szCs w:val="20"/>
        </w:rPr>
        <w:t xml:space="preserve">11.12. Kanunen yasaklanmış fiiller nedeniyle katlanılan giderler </w:t>
      </w:r>
    </w:p>
    <w:p w14:paraId="6312924D" w14:textId="452CFCF4" w:rsidR="00007B83" w:rsidRPr="00E40082" w:rsidRDefault="00007B83" w:rsidP="00BD2E57">
      <w:pPr>
        <w:jc w:val="both"/>
        <w:rPr>
          <w:rFonts w:ascii="Tahoma" w:hAnsi="Tahoma" w:cs="Tahoma"/>
          <w:i/>
          <w:iCs/>
          <w:sz w:val="20"/>
          <w:szCs w:val="20"/>
        </w:rPr>
      </w:pPr>
      <w:r w:rsidRPr="00E40082">
        <w:rPr>
          <w:rFonts w:ascii="Tahoma" w:hAnsi="Tahoma" w:cs="Tahoma"/>
          <w:i/>
          <w:iCs/>
          <w:sz w:val="20"/>
          <w:szCs w:val="20"/>
        </w:rPr>
        <w:t xml:space="preserve">Kanunen yasaklanmış fiiller nedeniyle katlanılan giderler ticari kazancın elde edilmesi ve idame ettirilmesi ile ilgili giderler niteliğinde olmadığından, bu giderlerin gelir ve kurum kazancından indirilmesi mümkün değildir. Dolayısıyla, rüşvet verme fiili </w:t>
      </w:r>
      <w:r w:rsidR="00B7001B" w:rsidRPr="00E40082">
        <w:rPr>
          <w:rFonts w:ascii="Tahoma" w:hAnsi="Tahoma" w:cs="Tahoma"/>
          <w:i/>
          <w:iCs/>
          <w:sz w:val="20"/>
          <w:szCs w:val="20"/>
        </w:rPr>
        <w:t>Türk Ceza Kanunu’nun</w:t>
      </w:r>
      <w:r w:rsidRPr="00E40082">
        <w:rPr>
          <w:rFonts w:ascii="Tahoma" w:hAnsi="Tahoma" w:cs="Tahoma"/>
          <w:i/>
          <w:iCs/>
          <w:sz w:val="20"/>
          <w:szCs w:val="20"/>
        </w:rPr>
        <w:t xml:space="preserve"> </w:t>
      </w:r>
      <w:proofErr w:type="gramStart"/>
      <w:r w:rsidRPr="00E40082">
        <w:rPr>
          <w:rFonts w:ascii="Tahoma" w:hAnsi="Tahoma" w:cs="Tahoma"/>
          <w:i/>
          <w:iCs/>
          <w:sz w:val="20"/>
          <w:szCs w:val="20"/>
        </w:rPr>
        <w:t>252 nci</w:t>
      </w:r>
      <w:proofErr w:type="gramEnd"/>
      <w:r w:rsidRPr="00E40082">
        <w:rPr>
          <w:rFonts w:ascii="Tahoma" w:hAnsi="Tahoma" w:cs="Tahoma"/>
          <w:i/>
          <w:iCs/>
          <w:sz w:val="20"/>
          <w:szCs w:val="20"/>
        </w:rPr>
        <w:t xml:space="preserve"> maddesinde suç olarak tanımlandığından, rüşvet ve rüşvet ile ilgili her türlü gider, vergiye tabi ticari kazancın tespitinde gider olarak dikkate alınmayacaktır.</w:t>
      </w:r>
    </w:p>
    <w:p w14:paraId="5A838F61" w14:textId="7906ED21" w:rsidR="00007B83" w:rsidRPr="00E40082" w:rsidRDefault="00007B83" w:rsidP="00BD2E57">
      <w:pPr>
        <w:jc w:val="both"/>
        <w:rPr>
          <w:rFonts w:ascii="Tahoma" w:hAnsi="Tahoma" w:cs="Tahoma"/>
          <w:sz w:val="20"/>
          <w:szCs w:val="20"/>
        </w:rPr>
      </w:pPr>
      <w:r w:rsidRPr="00E40082">
        <w:rPr>
          <w:rFonts w:ascii="Tahoma" w:hAnsi="Tahoma" w:cs="Tahoma"/>
          <w:sz w:val="20"/>
          <w:szCs w:val="20"/>
        </w:rPr>
        <w:t xml:space="preserve">Kurumlar Vergisi </w:t>
      </w:r>
      <w:r w:rsidR="00B7001B" w:rsidRPr="00E40082">
        <w:rPr>
          <w:rFonts w:ascii="Tahoma" w:hAnsi="Tahoma" w:cs="Tahoma"/>
          <w:sz w:val="20"/>
          <w:szCs w:val="20"/>
        </w:rPr>
        <w:t>Kanununda, genel</w:t>
      </w:r>
      <w:r w:rsidRPr="00E40082">
        <w:rPr>
          <w:rFonts w:ascii="Tahoma" w:hAnsi="Tahoma" w:cs="Tahoma"/>
          <w:sz w:val="20"/>
          <w:szCs w:val="20"/>
        </w:rPr>
        <w:t xml:space="preserve"> tebliğin yukarıdaki bölümü hakkında bir hüküm bulunmamaktadır.  Bu </w:t>
      </w:r>
      <w:r w:rsidR="00B7001B" w:rsidRPr="00E40082">
        <w:rPr>
          <w:rFonts w:ascii="Tahoma" w:hAnsi="Tahoma" w:cs="Tahoma"/>
          <w:sz w:val="20"/>
          <w:szCs w:val="20"/>
        </w:rPr>
        <w:t>bölüm, genel</w:t>
      </w:r>
      <w:r w:rsidRPr="00E40082">
        <w:rPr>
          <w:rFonts w:ascii="Tahoma" w:hAnsi="Tahoma" w:cs="Tahoma"/>
          <w:sz w:val="20"/>
          <w:szCs w:val="20"/>
        </w:rPr>
        <w:t xml:space="preserve"> tebliğe 20 Kasım 2008 tarihinde eklenmiştir. Anladığımız </w:t>
      </w:r>
      <w:r w:rsidR="00B7001B" w:rsidRPr="00E40082">
        <w:rPr>
          <w:rFonts w:ascii="Tahoma" w:hAnsi="Tahoma" w:cs="Tahoma"/>
          <w:sz w:val="20"/>
          <w:szCs w:val="20"/>
        </w:rPr>
        <w:t>kadarıyla; hukukun</w:t>
      </w:r>
      <w:r w:rsidRPr="00E40082">
        <w:rPr>
          <w:rFonts w:ascii="Tahoma" w:hAnsi="Tahoma" w:cs="Tahoma"/>
          <w:sz w:val="20"/>
          <w:szCs w:val="20"/>
        </w:rPr>
        <w:t xml:space="preserve"> genel ilkelerinden hareketle bu ifade tebliğe alınmıştır.</w:t>
      </w:r>
    </w:p>
    <w:p w14:paraId="6881A434" w14:textId="134A5F36" w:rsidR="00007B83" w:rsidRPr="00E40082" w:rsidRDefault="00007B83" w:rsidP="00BD2E57">
      <w:pPr>
        <w:jc w:val="both"/>
        <w:rPr>
          <w:rFonts w:ascii="Tahoma" w:hAnsi="Tahoma" w:cs="Tahoma"/>
          <w:sz w:val="20"/>
          <w:szCs w:val="20"/>
        </w:rPr>
      </w:pPr>
      <w:r w:rsidRPr="00E40082">
        <w:rPr>
          <w:rFonts w:ascii="Tahoma" w:hAnsi="Tahoma" w:cs="Tahoma"/>
          <w:sz w:val="20"/>
          <w:szCs w:val="20"/>
        </w:rPr>
        <w:t xml:space="preserve">Tebliğdeki </w:t>
      </w:r>
      <w:r w:rsidR="00B7001B" w:rsidRPr="00E40082">
        <w:rPr>
          <w:rFonts w:ascii="Tahoma" w:hAnsi="Tahoma" w:cs="Tahoma"/>
          <w:sz w:val="20"/>
          <w:szCs w:val="20"/>
        </w:rPr>
        <w:t>örnek verilen</w:t>
      </w:r>
      <w:r w:rsidRPr="00E40082">
        <w:rPr>
          <w:rFonts w:ascii="Tahoma" w:hAnsi="Tahoma" w:cs="Tahoma"/>
          <w:sz w:val="20"/>
          <w:szCs w:val="20"/>
        </w:rPr>
        <w:t xml:space="preserve"> rüşvetin </w:t>
      </w:r>
      <w:r w:rsidR="00B7001B" w:rsidRPr="00E40082">
        <w:rPr>
          <w:rFonts w:ascii="Tahoma" w:hAnsi="Tahoma" w:cs="Tahoma"/>
          <w:sz w:val="20"/>
          <w:szCs w:val="20"/>
        </w:rPr>
        <w:t>Türk Ceza Kanunu’na</w:t>
      </w:r>
      <w:r w:rsidRPr="00E40082">
        <w:rPr>
          <w:rFonts w:ascii="Tahoma" w:hAnsi="Tahoma" w:cs="Tahoma"/>
          <w:sz w:val="20"/>
          <w:szCs w:val="20"/>
        </w:rPr>
        <w:t xml:space="preserve"> göre suç olduğu bu nedenle de ticari kazancın tespitinde gider olarak dikkate alınmayacağı şeklindedir.  Rüşvet verme ve alma </w:t>
      </w:r>
      <w:r w:rsidR="00B7001B" w:rsidRPr="00E40082">
        <w:rPr>
          <w:rFonts w:ascii="Tahoma" w:hAnsi="Tahoma" w:cs="Tahoma"/>
          <w:sz w:val="20"/>
          <w:szCs w:val="20"/>
        </w:rPr>
        <w:t>Türk Ceza Kanunu’nun</w:t>
      </w:r>
      <w:r w:rsidRPr="00E40082">
        <w:rPr>
          <w:rFonts w:ascii="Tahoma" w:hAnsi="Tahoma" w:cs="Tahoma"/>
          <w:sz w:val="20"/>
          <w:szCs w:val="20"/>
        </w:rPr>
        <w:t xml:space="preserve"> </w:t>
      </w:r>
      <w:r w:rsidRPr="00E40082">
        <w:rPr>
          <w:rFonts w:ascii="Tahoma" w:hAnsi="Tahoma" w:cs="Tahoma"/>
          <w:sz w:val="20"/>
          <w:szCs w:val="20"/>
        </w:rPr>
        <w:lastRenderedPageBreak/>
        <w:t xml:space="preserve">252.maddesine göre suç </w:t>
      </w:r>
      <w:r w:rsidR="00B7001B" w:rsidRPr="00E40082">
        <w:rPr>
          <w:rFonts w:ascii="Tahoma" w:hAnsi="Tahoma" w:cs="Tahoma"/>
          <w:sz w:val="20"/>
          <w:szCs w:val="20"/>
        </w:rPr>
        <w:t>olup, veren</w:t>
      </w:r>
      <w:r w:rsidRPr="00E40082">
        <w:rPr>
          <w:rFonts w:ascii="Tahoma" w:hAnsi="Tahoma" w:cs="Tahoma"/>
          <w:sz w:val="20"/>
          <w:szCs w:val="20"/>
        </w:rPr>
        <w:t xml:space="preserve"> ve alana hapis ve para cezaları uygulanacaktır. Ayrıca; aynı Kanunun 54. ve 55.maddeleri uyarınca rüşvet suçunun işlenmesiyle elde edilen maddi menfaatler, "kazanç </w:t>
      </w:r>
      <w:r w:rsidR="00BE0498" w:rsidRPr="00E40082">
        <w:rPr>
          <w:rFonts w:ascii="Tahoma" w:hAnsi="Tahoma" w:cs="Tahoma"/>
          <w:sz w:val="20"/>
          <w:szCs w:val="20"/>
        </w:rPr>
        <w:t>müsaderesi “ne</w:t>
      </w:r>
      <w:r w:rsidRPr="00E40082">
        <w:rPr>
          <w:rFonts w:ascii="Tahoma" w:hAnsi="Tahoma" w:cs="Tahoma"/>
          <w:sz w:val="20"/>
          <w:szCs w:val="20"/>
        </w:rPr>
        <w:t xml:space="preserve"> tabi tutulur ve Hazineye aktarılır. Bu açıdan bakıldığında; rüşvet alıcıda kalmamakta ve Devlete aktarılmaktadır, dolayısıyla da ticari kazancın elde edilmesi ve sürdürülmesi ile ilgisi bulunmadığı anlaşılmaktadır.</w:t>
      </w:r>
    </w:p>
    <w:p w14:paraId="50853B80" w14:textId="2980F95B" w:rsidR="00007B83" w:rsidRPr="00E40082" w:rsidRDefault="00007B83" w:rsidP="00BD2E57">
      <w:pPr>
        <w:jc w:val="both"/>
        <w:rPr>
          <w:rFonts w:ascii="Tahoma" w:hAnsi="Tahoma" w:cs="Tahoma"/>
          <w:sz w:val="20"/>
          <w:szCs w:val="20"/>
        </w:rPr>
      </w:pPr>
      <w:r w:rsidRPr="00E40082">
        <w:rPr>
          <w:rFonts w:ascii="Tahoma" w:hAnsi="Tahoma" w:cs="Tahoma"/>
          <w:sz w:val="20"/>
          <w:szCs w:val="20"/>
        </w:rPr>
        <w:t xml:space="preserve">Yazımızın önceki bölümlerinde de belirttik.  Sermaye Hareketleri Genelgesinin 38.maddesine aykırı şekilde dövizli borç para verilmesi alınması işlemi (kasta veya kusura dayanan) suç kapsamına </w:t>
      </w:r>
      <w:r w:rsidR="00B7001B" w:rsidRPr="00E40082">
        <w:rPr>
          <w:rFonts w:ascii="Tahoma" w:hAnsi="Tahoma" w:cs="Tahoma"/>
          <w:sz w:val="20"/>
          <w:szCs w:val="20"/>
        </w:rPr>
        <w:t>alınmamış, kabahat</w:t>
      </w:r>
      <w:r w:rsidRPr="00E40082">
        <w:rPr>
          <w:rFonts w:ascii="Tahoma" w:hAnsi="Tahoma" w:cs="Tahoma"/>
          <w:sz w:val="20"/>
          <w:szCs w:val="20"/>
        </w:rPr>
        <w:t xml:space="preserve"> olarak görülmüştür. </w:t>
      </w:r>
      <w:r w:rsidR="00B7001B" w:rsidRPr="00E40082">
        <w:rPr>
          <w:rFonts w:ascii="Tahoma" w:hAnsi="Tahoma" w:cs="Tahoma"/>
          <w:sz w:val="20"/>
          <w:szCs w:val="20"/>
        </w:rPr>
        <w:t xml:space="preserve">Müeyyidesi; </w:t>
      </w:r>
      <w:proofErr w:type="gramStart"/>
      <w:r w:rsidR="00B7001B" w:rsidRPr="00E40082">
        <w:rPr>
          <w:rFonts w:ascii="Tahoma" w:hAnsi="Tahoma" w:cs="Tahoma"/>
          <w:sz w:val="20"/>
          <w:szCs w:val="20"/>
        </w:rPr>
        <w:t>Türk</w:t>
      </w:r>
      <w:r w:rsidRPr="00E40082">
        <w:rPr>
          <w:rFonts w:ascii="Tahoma" w:hAnsi="Tahoma" w:cs="Tahoma"/>
          <w:sz w:val="20"/>
          <w:szCs w:val="20"/>
        </w:rPr>
        <w:t xml:space="preserve"> Ceza Kanununa</w:t>
      </w:r>
      <w:proofErr w:type="gramEnd"/>
      <w:r w:rsidRPr="00E40082">
        <w:rPr>
          <w:rFonts w:ascii="Tahoma" w:hAnsi="Tahoma" w:cs="Tahoma"/>
          <w:sz w:val="20"/>
          <w:szCs w:val="20"/>
        </w:rPr>
        <w:t xml:space="preserve"> göre hapis, adli para cezası, müsadere değil sadece Kabahatler Kanununa göre idari para cezasıdır. </w:t>
      </w:r>
    </w:p>
    <w:p w14:paraId="22488AD3" w14:textId="02F41192" w:rsidR="00007B83" w:rsidRPr="00E40082" w:rsidRDefault="00007B83" w:rsidP="00BD2E57">
      <w:pPr>
        <w:jc w:val="both"/>
        <w:rPr>
          <w:rFonts w:ascii="Tahoma" w:hAnsi="Tahoma" w:cs="Tahoma"/>
          <w:sz w:val="20"/>
          <w:szCs w:val="20"/>
        </w:rPr>
      </w:pPr>
      <w:r w:rsidRPr="00E40082">
        <w:rPr>
          <w:rFonts w:ascii="Tahoma" w:hAnsi="Tahoma" w:cs="Tahoma"/>
          <w:sz w:val="20"/>
          <w:szCs w:val="20"/>
        </w:rPr>
        <w:t xml:space="preserve">Dövizli alınan borç işletmede, </w:t>
      </w:r>
      <w:r w:rsidR="00B7001B" w:rsidRPr="00E40082">
        <w:rPr>
          <w:rFonts w:ascii="Tahoma" w:hAnsi="Tahoma" w:cs="Tahoma"/>
          <w:sz w:val="20"/>
          <w:szCs w:val="20"/>
        </w:rPr>
        <w:t>işletmenin faaliyeti</w:t>
      </w:r>
      <w:r w:rsidRPr="00E40082">
        <w:rPr>
          <w:rFonts w:ascii="Tahoma" w:hAnsi="Tahoma" w:cs="Tahoma"/>
          <w:sz w:val="20"/>
          <w:szCs w:val="20"/>
        </w:rPr>
        <w:t xml:space="preserve"> ile ilgili </w:t>
      </w:r>
      <w:r w:rsidR="004F7BEB" w:rsidRPr="00E40082">
        <w:rPr>
          <w:rFonts w:ascii="Tahoma" w:hAnsi="Tahoma" w:cs="Tahoma"/>
          <w:sz w:val="20"/>
          <w:szCs w:val="20"/>
        </w:rPr>
        <w:t xml:space="preserve">kullanılıyorsa </w:t>
      </w:r>
      <w:proofErr w:type="gramStart"/>
      <w:r w:rsidR="004F7BEB" w:rsidRPr="00E40082">
        <w:rPr>
          <w:rFonts w:ascii="Tahoma" w:hAnsi="Tahoma" w:cs="Tahoma"/>
          <w:sz w:val="20"/>
          <w:szCs w:val="20"/>
        </w:rPr>
        <w:t>Gelir</w:t>
      </w:r>
      <w:r w:rsidRPr="00E40082">
        <w:rPr>
          <w:rFonts w:ascii="Tahoma" w:hAnsi="Tahoma" w:cs="Tahoma"/>
          <w:sz w:val="20"/>
          <w:szCs w:val="20"/>
        </w:rPr>
        <w:t xml:space="preserve"> Vergisi Kanununun</w:t>
      </w:r>
      <w:proofErr w:type="gramEnd"/>
      <w:r w:rsidRPr="00E40082">
        <w:rPr>
          <w:rFonts w:ascii="Tahoma" w:hAnsi="Tahoma" w:cs="Tahoma"/>
          <w:sz w:val="20"/>
          <w:szCs w:val="20"/>
        </w:rPr>
        <w:t xml:space="preserve"> 40/1. maddesine göre bu borçla ilgili kur farkları, ticari kazancın elde edilmesi ve sürdürülmesiyle ilgilidir. Banka kredisinin işletme faaliyetlerinde kullanılmasından mahiyet olarak bir farkı yoktur.</w:t>
      </w:r>
    </w:p>
    <w:p w14:paraId="540274A7" w14:textId="6E520A45" w:rsidR="00007B83" w:rsidRPr="00E40082" w:rsidRDefault="00007B83" w:rsidP="00BD2E57">
      <w:pPr>
        <w:jc w:val="both"/>
        <w:rPr>
          <w:rFonts w:ascii="Tahoma" w:hAnsi="Tahoma" w:cs="Tahoma"/>
          <w:sz w:val="20"/>
          <w:szCs w:val="20"/>
        </w:rPr>
      </w:pPr>
      <w:r w:rsidRPr="00E40082">
        <w:rPr>
          <w:rFonts w:ascii="Tahoma" w:hAnsi="Tahoma" w:cs="Tahoma"/>
          <w:sz w:val="20"/>
          <w:szCs w:val="20"/>
        </w:rPr>
        <w:t xml:space="preserve">Dövizli borç verme /alma ile ilgili kısıtlama 1567 sayılı Türk Parasının Kıymetini Koruma Hakkında Kanunda mevcut değildir. </w:t>
      </w:r>
      <w:r w:rsidR="00E50001" w:rsidRPr="00E40082">
        <w:rPr>
          <w:rFonts w:ascii="Tahoma" w:hAnsi="Tahoma" w:cs="Tahoma"/>
          <w:sz w:val="20"/>
          <w:szCs w:val="20"/>
        </w:rPr>
        <w:t>Kısıtlama, K</w:t>
      </w:r>
      <w:r w:rsidRPr="00E40082">
        <w:rPr>
          <w:rFonts w:ascii="Tahoma" w:hAnsi="Tahoma" w:cs="Tahoma"/>
          <w:sz w:val="20"/>
          <w:szCs w:val="20"/>
        </w:rPr>
        <w:t xml:space="preserve">anunun verdiği yetkiye </w:t>
      </w:r>
      <w:r w:rsidR="00B7001B" w:rsidRPr="00E40082">
        <w:rPr>
          <w:rFonts w:ascii="Tahoma" w:hAnsi="Tahoma" w:cs="Tahoma"/>
          <w:sz w:val="20"/>
          <w:szCs w:val="20"/>
        </w:rPr>
        <w:t>istinaden Cumhurbaşkanı</w:t>
      </w:r>
      <w:r w:rsidRPr="00E40082">
        <w:rPr>
          <w:rFonts w:ascii="Tahoma" w:hAnsi="Tahoma" w:cs="Tahoma"/>
          <w:sz w:val="20"/>
          <w:szCs w:val="20"/>
        </w:rPr>
        <w:t xml:space="preserve"> (öncesinde Bakanlar Kurulu) kararlarına dayanılarak yayımlanan 32 Sayılı Karara ilişkin tebliğe dayanılarak yayımlanan </w:t>
      </w:r>
      <w:proofErr w:type="gramStart"/>
      <w:r w:rsidRPr="00E40082">
        <w:rPr>
          <w:rFonts w:ascii="Tahoma" w:hAnsi="Tahoma" w:cs="Tahoma"/>
          <w:sz w:val="20"/>
          <w:szCs w:val="20"/>
        </w:rPr>
        <w:t>TC</w:t>
      </w:r>
      <w:proofErr w:type="gramEnd"/>
      <w:r w:rsidRPr="00E40082">
        <w:rPr>
          <w:rFonts w:ascii="Tahoma" w:hAnsi="Tahoma" w:cs="Tahoma"/>
          <w:sz w:val="20"/>
          <w:szCs w:val="20"/>
        </w:rPr>
        <w:t xml:space="preserve"> Merkez Bankası Sermaye Hareketleri Genelgesinden kaynaklanmaktadır. Burada Kanunen değil alt mevzuat uyarınca bir yasaklamadan bahsedilebilir. Kaldı ki; ortada suç değil kabahat bulunduğundan yasaklama </w:t>
      </w:r>
      <w:r w:rsidR="00CC585A" w:rsidRPr="00E40082">
        <w:rPr>
          <w:rFonts w:ascii="Tahoma" w:hAnsi="Tahoma" w:cs="Tahoma"/>
          <w:sz w:val="20"/>
          <w:szCs w:val="20"/>
        </w:rPr>
        <w:t>yerine k</w:t>
      </w:r>
      <w:r w:rsidR="00E50001" w:rsidRPr="00E40082">
        <w:rPr>
          <w:rFonts w:ascii="Tahoma" w:hAnsi="Tahoma" w:cs="Tahoma"/>
          <w:sz w:val="20"/>
          <w:szCs w:val="20"/>
        </w:rPr>
        <w:t>ısıtlama demek belki</w:t>
      </w:r>
      <w:r w:rsidRPr="00E40082">
        <w:rPr>
          <w:rFonts w:ascii="Tahoma" w:hAnsi="Tahoma" w:cs="Tahoma"/>
          <w:sz w:val="20"/>
          <w:szCs w:val="20"/>
        </w:rPr>
        <w:t xml:space="preserve"> daha doğru olabilir. </w:t>
      </w:r>
    </w:p>
    <w:p w14:paraId="7D4206C0" w14:textId="7B12A5BA" w:rsidR="00007B83" w:rsidRPr="00E40082" w:rsidRDefault="00007B83" w:rsidP="00BD2E57">
      <w:pPr>
        <w:jc w:val="both"/>
        <w:rPr>
          <w:rFonts w:ascii="Tahoma" w:hAnsi="Tahoma" w:cs="Tahoma"/>
          <w:sz w:val="20"/>
          <w:szCs w:val="20"/>
        </w:rPr>
      </w:pPr>
      <w:r w:rsidRPr="00E40082">
        <w:rPr>
          <w:rFonts w:ascii="Tahoma" w:hAnsi="Tahoma" w:cs="Tahoma"/>
          <w:sz w:val="20"/>
          <w:szCs w:val="20"/>
        </w:rPr>
        <w:t xml:space="preserve">32/34 sayılı Tebliğin 8.Maddesine göre; dövizli sözleşmeye bağlanması veya ödemesinin dövizle </w:t>
      </w:r>
      <w:r w:rsidR="00B7001B" w:rsidRPr="00E40082">
        <w:rPr>
          <w:rFonts w:ascii="Tahoma" w:hAnsi="Tahoma" w:cs="Tahoma"/>
          <w:sz w:val="20"/>
          <w:szCs w:val="20"/>
        </w:rPr>
        <w:t>ya da</w:t>
      </w:r>
      <w:r w:rsidRPr="00E40082">
        <w:rPr>
          <w:rFonts w:ascii="Tahoma" w:hAnsi="Tahoma" w:cs="Tahoma"/>
          <w:sz w:val="20"/>
          <w:szCs w:val="20"/>
        </w:rPr>
        <w:t xml:space="preserve"> dövize endeksli yapılmasına izin verilmeyen halleri </w:t>
      </w:r>
      <w:r w:rsidR="00B7001B" w:rsidRPr="00E40082">
        <w:rPr>
          <w:rFonts w:ascii="Tahoma" w:hAnsi="Tahoma" w:cs="Tahoma"/>
          <w:sz w:val="20"/>
          <w:szCs w:val="20"/>
        </w:rPr>
        <w:t>de bu</w:t>
      </w:r>
      <w:r w:rsidRPr="00E40082">
        <w:rPr>
          <w:rFonts w:ascii="Tahoma" w:hAnsi="Tahoma" w:cs="Tahoma"/>
          <w:sz w:val="20"/>
          <w:szCs w:val="20"/>
        </w:rPr>
        <w:t xml:space="preserve"> açıdan ele alalım.  Örneğin; taşınmazın dövizle </w:t>
      </w:r>
      <w:r w:rsidR="00B7001B" w:rsidRPr="00E40082">
        <w:rPr>
          <w:rFonts w:ascii="Tahoma" w:hAnsi="Tahoma" w:cs="Tahoma"/>
          <w:sz w:val="20"/>
          <w:szCs w:val="20"/>
        </w:rPr>
        <w:t>ya da</w:t>
      </w:r>
      <w:r w:rsidRPr="00E40082">
        <w:rPr>
          <w:rFonts w:ascii="Tahoma" w:hAnsi="Tahoma" w:cs="Tahoma"/>
          <w:sz w:val="20"/>
          <w:szCs w:val="20"/>
        </w:rPr>
        <w:t xml:space="preserve"> dövize endeksli olarak kiralanmasına </w:t>
      </w:r>
      <w:r w:rsidR="00BE0498" w:rsidRPr="00E40082">
        <w:rPr>
          <w:rFonts w:ascii="Tahoma" w:hAnsi="Tahoma" w:cs="Tahoma"/>
          <w:sz w:val="20"/>
          <w:szCs w:val="20"/>
        </w:rPr>
        <w:t>söz konusu</w:t>
      </w:r>
      <w:r w:rsidRPr="00E40082">
        <w:rPr>
          <w:rFonts w:ascii="Tahoma" w:hAnsi="Tahoma" w:cs="Tahoma"/>
          <w:sz w:val="20"/>
          <w:szCs w:val="20"/>
        </w:rPr>
        <w:t xml:space="preserve"> madde uyarınca izin verilmemiştir.  Buna rağmen, işyeri olarak kullanılan taşınmazın kira bedelinin döviz cinsinden belirlendiğini kiralamanın buna göre gerçekleştiğini düşünelim. Bu durumda; kira ödemesi Kurumlar Vergisi Genel Tebliğinin yukarıda yer verdiğimiz bölümüne göre kanunen kabul edilmeyen gider mi sayılacaktır? Tabii ki değil. İşyeri olarak kullanılan </w:t>
      </w:r>
      <w:proofErr w:type="gramStart"/>
      <w:r w:rsidRPr="00E40082">
        <w:rPr>
          <w:rFonts w:ascii="Tahoma" w:hAnsi="Tahoma" w:cs="Tahoma"/>
          <w:sz w:val="20"/>
          <w:szCs w:val="20"/>
        </w:rPr>
        <w:t>mekanın</w:t>
      </w:r>
      <w:proofErr w:type="gramEnd"/>
      <w:r w:rsidRPr="00E40082">
        <w:rPr>
          <w:rFonts w:ascii="Tahoma" w:hAnsi="Tahoma" w:cs="Tahoma"/>
          <w:sz w:val="20"/>
          <w:szCs w:val="20"/>
        </w:rPr>
        <w:t xml:space="preserve"> kira </w:t>
      </w:r>
      <w:r w:rsidR="00B7001B" w:rsidRPr="00E40082">
        <w:rPr>
          <w:rFonts w:ascii="Tahoma" w:hAnsi="Tahoma" w:cs="Tahoma"/>
          <w:sz w:val="20"/>
          <w:szCs w:val="20"/>
        </w:rPr>
        <w:t>gideri, ticari</w:t>
      </w:r>
      <w:r w:rsidRPr="00E40082">
        <w:rPr>
          <w:rFonts w:ascii="Tahoma" w:hAnsi="Tahoma" w:cs="Tahoma"/>
          <w:sz w:val="20"/>
          <w:szCs w:val="20"/>
        </w:rPr>
        <w:t xml:space="preserve"> kazancın elde edilmesi ve sürdürülmesi ile ilgili bir giderdir. Kaldı </w:t>
      </w:r>
      <w:r w:rsidR="00B7001B" w:rsidRPr="00E40082">
        <w:rPr>
          <w:rFonts w:ascii="Tahoma" w:hAnsi="Tahoma" w:cs="Tahoma"/>
          <w:sz w:val="20"/>
          <w:szCs w:val="20"/>
        </w:rPr>
        <w:t>ki; 32</w:t>
      </w:r>
      <w:r w:rsidRPr="00E40082">
        <w:rPr>
          <w:rFonts w:ascii="Tahoma" w:hAnsi="Tahoma" w:cs="Tahoma"/>
          <w:sz w:val="20"/>
          <w:szCs w:val="20"/>
        </w:rPr>
        <w:t xml:space="preserve">/34 sayılı Tebliğin aynı </w:t>
      </w:r>
      <w:r w:rsidR="00B7001B" w:rsidRPr="00E40082">
        <w:rPr>
          <w:rFonts w:ascii="Tahoma" w:hAnsi="Tahoma" w:cs="Tahoma"/>
          <w:sz w:val="20"/>
          <w:szCs w:val="20"/>
        </w:rPr>
        <w:t>maddesinde; bu</w:t>
      </w:r>
      <w:r w:rsidRPr="00E40082">
        <w:rPr>
          <w:rFonts w:ascii="Tahoma" w:hAnsi="Tahoma" w:cs="Tahoma"/>
          <w:sz w:val="20"/>
          <w:szCs w:val="20"/>
        </w:rPr>
        <w:t xml:space="preserve"> şekildeki kira sözleşmeleri geçersiz sayılmamış, bedelin nasıl Türk </w:t>
      </w:r>
      <w:proofErr w:type="gramStart"/>
      <w:r w:rsidRPr="00E40082">
        <w:rPr>
          <w:rFonts w:ascii="Tahoma" w:hAnsi="Tahoma" w:cs="Tahoma"/>
          <w:sz w:val="20"/>
          <w:szCs w:val="20"/>
        </w:rPr>
        <w:t>Lirası</w:t>
      </w:r>
      <w:proofErr w:type="gramEnd"/>
      <w:r w:rsidRPr="00E40082">
        <w:rPr>
          <w:rFonts w:ascii="Tahoma" w:hAnsi="Tahoma" w:cs="Tahoma"/>
          <w:sz w:val="20"/>
          <w:szCs w:val="20"/>
        </w:rPr>
        <w:t xml:space="preserve"> ci</w:t>
      </w:r>
      <w:r w:rsidR="00E50001" w:rsidRPr="00E40082">
        <w:rPr>
          <w:rFonts w:ascii="Tahoma" w:hAnsi="Tahoma" w:cs="Tahoma"/>
          <w:sz w:val="20"/>
          <w:szCs w:val="20"/>
        </w:rPr>
        <w:t>n</w:t>
      </w:r>
      <w:r w:rsidRPr="00E40082">
        <w:rPr>
          <w:rFonts w:ascii="Tahoma" w:hAnsi="Tahoma" w:cs="Tahoma"/>
          <w:sz w:val="20"/>
          <w:szCs w:val="20"/>
        </w:rPr>
        <w:t xml:space="preserve">sinden belirleneceği ifade edilmiştir. </w:t>
      </w:r>
    </w:p>
    <w:p w14:paraId="47757603" w14:textId="140AF796" w:rsidR="00007B83" w:rsidRPr="00E40082" w:rsidRDefault="00007B83" w:rsidP="00BD2E57">
      <w:pPr>
        <w:jc w:val="both"/>
        <w:rPr>
          <w:rFonts w:ascii="Tahoma" w:eastAsia="Times New Roman" w:hAnsi="Tahoma" w:cs="Tahoma"/>
          <w:sz w:val="20"/>
          <w:szCs w:val="20"/>
          <w:lang w:eastAsia="tr-TR"/>
        </w:rPr>
      </w:pPr>
      <w:r w:rsidRPr="00E40082">
        <w:rPr>
          <w:rFonts w:ascii="Tahoma" w:eastAsia="Times New Roman" w:hAnsi="Tahoma" w:cs="Tahoma"/>
          <w:sz w:val="20"/>
          <w:szCs w:val="20"/>
          <w:lang w:eastAsia="tr-TR"/>
        </w:rPr>
        <w:t xml:space="preserve">Konuya Kabahatler Kanunundan da örnek verelim; Kabahatler Kanununun 38.Maddesine göre, yetkili makamlardan izin almadan kaldırımları işgal edip burada mal satanlara idari para cezası uygulanacaktır. </w:t>
      </w:r>
      <w:r w:rsidR="00B7001B" w:rsidRPr="00E40082">
        <w:rPr>
          <w:rFonts w:ascii="Tahoma" w:eastAsia="Times New Roman" w:hAnsi="Tahoma" w:cs="Tahoma"/>
          <w:sz w:val="20"/>
          <w:szCs w:val="20"/>
          <w:lang w:eastAsia="tr-TR"/>
        </w:rPr>
        <w:t>Peki; bu</w:t>
      </w:r>
      <w:r w:rsidRPr="00E40082">
        <w:rPr>
          <w:rFonts w:ascii="Tahoma" w:eastAsia="Times New Roman" w:hAnsi="Tahoma" w:cs="Tahoma"/>
          <w:sz w:val="20"/>
          <w:szCs w:val="20"/>
          <w:lang w:eastAsia="tr-TR"/>
        </w:rPr>
        <w:t xml:space="preserve"> satıcıdan mal alan gerçek kişi veya şirketin bu iktisabı geçersiz mi sayılacaktır? Tabii ki alım geçerlidir. Ama; satıcıya idari para cezası uygulanacaktır. </w:t>
      </w:r>
    </w:p>
    <w:p w14:paraId="6C8FB770" w14:textId="4C959BDF" w:rsidR="00B862D6" w:rsidRPr="00E40082" w:rsidRDefault="00B7001B" w:rsidP="00BD2E57">
      <w:pPr>
        <w:jc w:val="both"/>
        <w:rPr>
          <w:rFonts w:ascii="Tahoma" w:hAnsi="Tahoma" w:cs="Tahoma"/>
          <w:sz w:val="20"/>
          <w:szCs w:val="20"/>
        </w:rPr>
      </w:pPr>
      <w:r w:rsidRPr="00E40082">
        <w:rPr>
          <w:rFonts w:ascii="Tahoma" w:eastAsia="Times New Roman" w:hAnsi="Tahoma" w:cs="Tahoma"/>
          <w:sz w:val="20"/>
          <w:szCs w:val="20"/>
          <w:lang w:eastAsia="tr-TR"/>
        </w:rPr>
        <w:t>Ortada; fiilen</w:t>
      </w:r>
      <w:r w:rsidR="00B862D6" w:rsidRPr="00E40082">
        <w:rPr>
          <w:rFonts w:ascii="Tahoma" w:eastAsia="Times New Roman" w:hAnsi="Tahoma" w:cs="Tahoma"/>
          <w:sz w:val="20"/>
          <w:szCs w:val="20"/>
          <w:lang w:eastAsia="tr-TR"/>
        </w:rPr>
        <w:t xml:space="preserve"> döviz olarak verilmiş ve vadesi gelmişse de döviz olarak geri ödenmiş bir borç mevcuttur. Vergi Usul Kanununun 3/B Maddesindeki “</w:t>
      </w:r>
      <w:r w:rsidR="00B862D6" w:rsidRPr="00E40082">
        <w:rPr>
          <w:rFonts w:ascii="Tahoma" w:hAnsi="Tahoma" w:cs="Tahoma"/>
          <w:i/>
          <w:iCs/>
          <w:sz w:val="20"/>
          <w:szCs w:val="20"/>
        </w:rPr>
        <w:t xml:space="preserve">Vergilendirmede vergiyi doğuran olay ve bu olaya ilişkin muamelelerin gerçek mahiyeti esastır.” </w:t>
      </w:r>
      <w:r w:rsidR="00B862D6" w:rsidRPr="00E40082">
        <w:rPr>
          <w:rFonts w:ascii="Tahoma" w:hAnsi="Tahoma" w:cs="Tahoma"/>
          <w:sz w:val="20"/>
          <w:szCs w:val="20"/>
        </w:rPr>
        <w:t xml:space="preserve"> </w:t>
      </w:r>
      <w:proofErr w:type="gramStart"/>
      <w:r w:rsidR="00B862D6" w:rsidRPr="00E40082">
        <w:rPr>
          <w:rFonts w:ascii="Tahoma" w:hAnsi="Tahoma" w:cs="Tahoma"/>
          <w:sz w:val="20"/>
          <w:szCs w:val="20"/>
        </w:rPr>
        <w:t>hükmü</w:t>
      </w:r>
      <w:proofErr w:type="gramEnd"/>
      <w:r w:rsidR="00B862D6" w:rsidRPr="00E40082">
        <w:rPr>
          <w:rFonts w:ascii="Tahoma" w:hAnsi="Tahoma" w:cs="Tahoma"/>
          <w:sz w:val="20"/>
          <w:szCs w:val="20"/>
        </w:rPr>
        <w:t xml:space="preserve"> uyarınca vergi matrahının tespitinde işlemlerin gerçek mahiyetine göre matrah belirlenmesi gerekir.</w:t>
      </w:r>
      <w:r w:rsidR="00C41A68" w:rsidRPr="00E40082">
        <w:rPr>
          <w:rFonts w:ascii="Tahoma" w:hAnsi="Tahoma" w:cs="Tahoma"/>
          <w:sz w:val="20"/>
          <w:szCs w:val="20"/>
        </w:rPr>
        <w:t xml:space="preserve"> İşletme </w:t>
      </w:r>
      <w:r w:rsidRPr="00E40082">
        <w:rPr>
          <w:rFonts w:ascii="Tahoma" w:hAnsi="Tahoma" w:cs="Tahoma"/>
          <w:sz w:val="20"/>
          <w:szCs w:val="20"/>
        </w:rPr>
        <w:t>varlığına döviz</w:t>
      </w:r>
      <w:r w:rsidR="00C41A68" w:rsidRPr="00E40082">
        <w:rPr>
          <w:rFonts w:ascii="Tahoma" w:hAnsi="Tahoma" w:cs="Tahoma"/>
          <w:sz w:val="20"/>
          <w:szCs w:val="20"/>
        </w:rPr>
        <w:t xml:space="preserve"> olarak girmiş ve sonrasında da döviz olarak çıkmış bir borcun kur farkını kabul etmemek gerçeğe aykırı matrah oluşturur.</w:t>
      </w:r>
    </w:p>
    <w:p w14:paraId="6909FD04" w14:textId="302F9C0B" w:rsidR="00007B83" w:rsidRPr="00E40082" w:rsidRDefault="00E40082" w:rsidP="00BD2E57">
      <w:pPr>
        <w:jc w:val="both"/>
        <w:rPr>
          <w:rFonts w:ascii="Tahoma" w:hAnsi="Tahoma" w:cs="Tahoma"/>
          <w:sz w:val="20"/>
          <w:szCs w:val="20"/>
        </w:rPr>
      </w:pPr>
      <w:r w:rsidRPr="00E40082">
        <w:rPr>
          <w:rFonts w:ascii="Tahoma" w:hAnsi="Tahoma" w:cs="Tahoma"/>
          <w:sz w:val="20"/>
          <w:szCs w:val="20"/>
        </w:rPr>
        <w:t>Dolayısıyla; Kurumlar</w:t>
      </w:r>
      <w:r w:rsidR="00007B83" w:rsidRPr="00E40082">
        <w:rPr>
          <w:rFonts w:ascii="Tahoma" w:hAnsi="Tahoma" w:cs="Tahoma"/>
          <w:sz w:val="20"/>
          <w:szCs w:val="20"/>
        </w:rPr>
        <w:t xml:space="preserve"> Vergisi Kanunu Genel Tebliğinin yukarıdaki bölümünün dövizli borç para verme /alma işlemini ve bu işleminden kaynaklanan gider yazmayı kapsamadığı söylenebilir.</w:t>
      </w:r>
    </w:p>
    <w:p w14:paraId="66B6DDE1" w14:textId="77777777" w:rsidR="00161A08" w:rsidRPr="00E40082" w:rsidRDefault="00161A08" w:rsidP="00BD2E57">
      <w:pPr>
        <w:spacing w:after="0"/>
        <w:jc w:val="both"/>
        <w:rPr>
          <w:rFonts w:ascii="Tahoma" w:hAnsi="Tahoma" w:cs="Tahoma"/>
          <w:sz w:val="20"/>
          <w:szCs w:val="20"/>
        </w:rPr>
      </w:pPr>
    </w:p>
    <w:p w14:paraId="70F0D32C" w14:textId="77777777" w:rsidR="00161A08" w:rsidRPr="00E40082" w:rsidRDefault="00161A08" w:rsidP="00BD2E57">
      <w:pPr>
        <w:spacing w:after="0"/>
        <w:jc w:val="both"/>
        <w:rPr>
          <w:rFonts w:ascii="Tahoma" w:hAnsi="Tahoma" w:cs="Tahoma"/>
          <w:sz w:val="20"/>
          <w:szCs w:val="20"/>
        </w:rPr>
      </w:pPr>
    </w:p>
    <w:sectPr w:rsidR="00161A08" w:rsidRPr="00E4008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B39A9" w14:textId="77777777" w:rsidR="00B26182" w:rsidRDefault="00B26182" w:rsidP="009559E3">
      <w:pPr>
        <w:spacing w:after="0" w:line="240" w:lineRule="auto"/>
      </w:pPr>
      <w:r>
        <w:separator/>
      </w:r>
    </w:p>
  </w:endnote>
  <w:endnote w:type="continuationSeparator" w:id="0">
    <w:p w14:paraId="34DF8915" w14:textId="77777777" w:rsidR="00B26182" w:rsidRDefault="00B26182" w:rsidP="00955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284640"/>
      <w:docPartObj>
        <w:docPartGallery w:val="Page Numbers (Bottom of Page)"/>
        <w:docPartUnique/>
      </w:docPartObj>
    </w:sdtPr>
    <w:sdtContent>
      <w:p w14:paraId="4918180A" w14:textId="27D05062" w:rsidR="009559E3" w:rsidRDefault="009559E3">
        <w:pPr>
          <w:pStyle w:val="AltBilgi"/>
          <w:jc w:val="center"/>
        </w:pPr>
        <w:r>
          <w:fldChar w:fldCharType="begin"/>
        </w:r>
        <w:r>
          <w:instrText>PAGE   \* MERGEFORMAT</w:instrText>
        </w:r>
        <w:r>
          <w:fldChar w:fldCharType="separate"/>
        </w:r>
        <w:r>
          <w:t>2</w:t>
        </w:r>
        <w:r>
          <w:fldChar w:fldCharType="end"/>
        </w:r>
      </w:p>
    </w:sdtContent>
  </w:sdt>
  <w:p w14:paraId="6E0BED95" w14:textId="77777777" w:rsidR="009559E3" w:rsidRDefault="009559E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C06E7" w14:textId="77777777" w:rsidR="00B26182" w:rsidRDefault="00B26182" w:rsidP="009559E3">
      <w:pPr>
        <w:spacing w:after="0" w:line="240" w:lineRule="auto"/>
      </w:pPr>
      <w:r>
        <w:separator/>
      </w:r>
    </w:p>
  </w:footnote>
  <w:footnote w:type="continuationSeparator" w:id="0">
    <w:p w14:paraId="7C4C45F9" w14:textId="77777777" w:rsidR="00B26182" w:rsidRDefault="00B26182" w:rsidP="009559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DFC"/>
    <w:multiLevelType w:val="multilevel"/>
    <w:tmpl w:val="5D4A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5E26EC"/>
    <w:multiLevelType w:val="multilevel"/>
    <w:tmpl w:val="D394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483198">
    <w:abstractNumId w:val="1"/>
  </w:num>
  <w:num w:numId="2" w16cid:durableId="50386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76"/>
    <w:rsid w:val="00007B83"/>
    <w:rsid w:val="00060361"/>
    <w:rsid w:val="00084AD5"/>
    <w:rsid w:val="00085B13"/>
    <w:rsid w:val="0009685D"/>
    <w:rsid w:val="000B24A2"/>
    <w:rsid w:val="000C02EC"/>
    <w:rsid w:val="000C23D5"/>
    <w:rsid w:val="00104C6A"/>
    <w:rsid w:val="0011471B"/>
    <w:rsid w:val="0013737F"/>
    <w:rsid w:val="00161A08"/>
    <w:rsid w:val="00190F81"/>
    <w:rsid w:val="001B5E1A"/>
    <w:rsid w:val="001F7224"/>
    <w:rsid w:val="00200977"/>
    <w:rsid w:val="00260AC6"/>
    <w:rsid w:val="00262B8F"/>
    <w:rsid w:val="00262E5F"/>
    <w:rsid w:val="002650EB"/>
    <w:rsid w:val="00267B15"/>
    <w:rsid w:val="002917F6"/>
    <w:rsid w:val="0029798C"/>
    <w:rsid w:val="003271D8"/>
    <w:rsid w:val="003512D0"/>
    <w:rsid w:val="003634EE"/>
    <w:rsid w:val="003755AA"/>
    <w:rsid w:val="003846F6"/>
    <w:rsid w:val="003A6AD8"/>
    <w:rsid w:val="003A7410"/>
    <w:rsid w:val="003D2EB2"/>
    <w:rsid w:val="003E477E"/>
    <w:rsid w:val="00406863"/>
    <w:rsid w:val="00482666"/>
    <w:rsid w:val="00483D37"/>
    <w:rsid w:val="004A3B53"/>
    <w:rsid w:val="004C571B"/>
    <w:rsid w:val="004F7BEB"/>
    <w:rsid w:val="005015F5"/>
    <w:rsid w:val="0051107E"/>
    <w:rsid w:val="00552839"/>
    <w:rsid w:val="00554E59"/>
    <w:rsid w:val="005574BE"/>
    <w:rsid w:val="005A3227"/>
    <w:rsid w:val="005B3BDC"/>
    <w:rsid w:val="005C38B1"/>
    <w:rsid w:val="005C3ECF"/>
    <w:rsid w:val="005E792B"/>
    <w:rsid w:val="00652605"/>
    <w:rsid w:val="006601CC"/>
    <w:rsid w:val="00673E2D"/>
    <w:rsid w:val="00674AFA"/>
    <w:rsid w:val="006A18D7"/>
    <w:rsid w:val="006A2D93"/>
    <w:rsid w:val="006A765D"/>
    <w:rsid w:val="006B65FF"/>
    <w:rsid w:val="006E03BF"/>
    <w:rsid w:val="0072235A"/>
    <w:rsid w:val="0072784C"/>
    <w:rsid w:val="007809E4"/>
    <w:rsid w:val="007C4DC7"/>
    <w:rsid w:val="00824966"/>
    <w:rsid w:val="00827986"/>
    <w:rsid w:val="0083750C"/>
    <w:rsid w:val="008718BC"/>
    <w:rsid w:val="00886017"/>
    <w:rsid w:val="008D1176"/>
    <w:rsid w:val="0090163D"/>
    <w:rsid w:val="009067F6"/>
    <w:rsid w:val="009227A4"/>
    <w:rsid w:val="009559E3"/>
    <w:rsid w:val="00957ECA"/>
    <w:rsid w:val="00960D62"/>
    <w:rsid w:val="009D642F"/>
    <w:rsid w:val="00A13F8D"/>
    <w:rsid w:val="00A22761"/>
    <w:rsid w:val="00A27D45"/>
    <w:rsid w:val="00A35C79"/>
    <w:rsid w:val="00A81285"/>
    <w:rsid w:val="00A90073"/>
    <w:rsid w:val="00A90A27"/>
    <w:rsid w:val="00A9367D"/>
    <w:rsid w:val="00AE5DA5"/>
    <w:rsid w:val="00B103A7"/>
    <w:rsid w:val="00B26182"/>
    <w:rsid w:val="00B7001B"/>
    <w:rsid w:val="00B862D6"/>
    <w:rsid w:val="00BA7C98"/>
    <w:rsid w:val="00BB5904"/>
    <w:rsid w:val="00BD2E57"/>
    <w:rsid w:val="00BE0498"/>
    <w:rsid w:val="00BE322A"/>
    <w:rsid w:val="00C07282"/>
    <w:rsid w:val="00C41A68"/>
    <w:rsid w:val="00C6526B"/>
    <w:rsid w:val="00C67DDD"/>
    <w:rsid w:val="00C717CD"/>
    <w:rsid w:val="00C71AFB"/>
    <w:rsid w:val="00C82168"/>
    <w:rsid w:val="00CC585A"/>
    <w:rsid w:val="00CE5CD3"/>
    <w:rsid w:val="00D069A2"/>
    <w:rsid w:val="00D07A72"/>
    <w:rsid w:val="00D81616"/>
    <w:rsid w:val="00DB5901"/>
    <w:rsid w:val="00DC0D93"/>
    <w:rsid w:val="00DF07C3"/>
    <w:rsid w:val="00E006C9"/>
    <w:rsid w:val="00E40082"/>
    <w:rsid w:val="00E43857"/>
    <w:rsid w:val="00E50001"/>
    <w:rsid w:val="00E5735B"/>
    <w:rsid w:val="00E91284"/>
    <w:rsid w:val="00EB0D5D"/>
    <w:rsid w:val="00EF5A09"/>
    <w:rsid w:val="00F129B6"/>
    <w:rsid w:val="00F23ABA"/>
    <w:rsid w:val="00F30C1B"/>
    <w:rsid w:val="00F501C9"/>
    <w:rsid w:val="00F5201A"/>
    <w:rsid w:val="00F53B17"/>
    <w:rsid w:val="00F838A2"/>
    <w:rsid w:val="00FB0F77"/>
    <w:rsid w:val="00FC37E2"/>
    <w:rsid w:val="00FD16BB"/>
    <w:rsid w:val="00FD21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10D71"/>
  <w15:chartTrackingRefBased/>
  <w15:docId w15:val="{904EDB01-D627-4268-8074-ADF5392B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D1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aliases w:val="Başlık 2 Char Char,Başlık 2 Char1 Char,Başlık 2 Char1,Başlık 2 Char Char Char Char Char,Başlık 2 Char Char Char Char"/>
    <w:basedOn w:val="Normal"/>
    <w:next w:val="Normal"/>
    <w:link w:val="Balk2Char"/>
    <w:unhideWhenUsed/>
    <w:qFormat/>
    <w:rsid w:val="008D1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D117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D117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D117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D117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D117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D117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D117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D1176"/>
    <w:rPr>
      <w:rFonts w:asciiTheme="majorHAnsi" w:eastAsiaTheme="majorEastAsia" w:hAnsiTheme="majorHAnsi" w:cstheme="majorBidi"/>
      <w:color w:val="0F4761" w:themeColor="accent1" w:themeShade="BF"/>
      <w:sz w:val="40"/>
      <w:szCs w:val="40"/>
    </w:rPr>
  </w:style>
  <w:style w:type="character" w:customStyle="1" w:styleId="Balk2Char">
    <w:name w:val="Başlık 2 Char"/>
    <w:aliases w:val="Başlık 2 Char Char Char,Başlık 2 Char1 Char Char,Başlık 2 Char1 Char1,Başlık 2 Char Char Char Char Char Char,Başlık 2 Char Char Char Char Char1"/>
    <w:basedOn w:val="VarsaylanParagrafYazTipi"/>
    <w:link w:val="Balk2"/>
    <w:rsid w:val="008D117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D117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D117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D117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D117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D117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D117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D1176"/>
    <w:rPr>
      <w:rFonts w:eastAsiaTheme="majorEastAsia" w:cstheme="majorBidi"/>
      <w:color w:val="272727" w:themeColor="text1" w:themeTint="D8"/>
    </w:rPr>
  </w:style>
  <w:style w:type="paragraph" w:styleId="KonuBal">
    <w:name w:val="Title"/>
    <w:basedOn w:val="Normal"/>
    <w:next w:val="Normal"/>
    <w:link w:val="KonuBalChar"/>
    <w:qFormat/>
    <w:rsid w:val="008D1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8D117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D117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D117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D117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D1176"/>
    <w:rPr>
      <w:i/>
      <w:iCs/>
      <w:color w:val="404040" w:themeColor="text1" w:themeTint="BF"/>
    </w:rPr>
  </w:style>
  <w:style w:type="paragraph" w:styleId="ListeParagraf">
    <w:name w:val="List Paragraph"/>
    <w:basedOn w:val="Normal"/>
    <w:uiPriority w:val="34"/>
    <w:qFormat/>
    <w:rsid w:val="008D1176"/>
    <w:pPr>
      <w:ind w:left="720"/>
      <w:contextualSpacing/>
    </w:pPr>
  </w:style>
  <w:style w:type="character" w:styleId="GlVurgulama">
    <w:name w:val="Intense Emphasis"/>
    <w:basedOn w:val="VarsaylanParagrafYazTipi"/>
    <w:uiPriority w:val="21"/>
    <w:qFormat/>
    <w:rsid w:val="008D1176"/>
    <w:rPr>
      <w:i/>
      <w:iCs/>
      <w:color w:val="0F4761" w:themeColor="accent1" w:themeShade="BF"/>
    </w:rPr>
  </w:style>
  <w:style w:type="paragraph" w:styleId="GlAlnt">
    <w:name w:val="Intense Quote"/>
    <w:basedOn w:val="Normal"/>
    <w:next w:val="Normal"/>
    <w:link w:val="GlAlntChar"/>
    <w:uiPriority w:val="30"/>
    <w:qFormat/>
    <w:rsid w:val="008D1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D1176"/>
    <w:rPr>
      <w:i/>
      <w:iCs/>
      <w:color w:val="0F4761" w:themeColor="accent1" w:themeShade="BF"/>
    </w:rPr>
  </w:style>
  <w:style w:type="character" w:styleId="GlBavuru">
    <w:name w:val="Intense Reference"/>
    <w:basedOn w:val="VarsaylanParagrafYazTipi"/>
    <w:uiPriority w:val="32"/>
    <w:qFormat/>
    <w:rsid w:val="008D1176"/>
    <w:rPr>
      <w:b/>
      <w:bCs/>
      <w:smallCaps/>
      <w:color w:val="0F4761" w:themeColor="accent1" w:themeShade="BF"/>
      <w:spacing w:val="5"/>
    </w:rPr>
  </w:style>
  <w:style w:type="character" w:styleId="Kpr">
    <w:name w:val="Hyperlink"/>
    <w:basedOn w:val="VarsaylanParagrafYazTipi"/>
    <w:uiPriority w:val="99"/>
    <w:unhideWhenUsed/>
    <w:rsid w:val="008D1176"/>
    <w:rPr>
      <w:color w:val="467886" w:themeColor="hyperlink"/>
      <w:u w:val="single"/>
    </w:rPr>
  </w:style>
  <w:style w:type="character" w:styleId="zmlenmeyenBahsetme">
    <w:name w:val="Unresolved Mention"/>
    <w:basedOn w:val="VarsaylanParagrafYazTipi"/>
    <w:uiPriority w:val="99"/>
    <w:semiHidden/>
    <w:unhideWhenUsed/>
    <w:rsid w:val="008D1176"/>
    <w:rPr>
      <w:color w:val="605E5C"/>
      <w:shd w:val="clear" w:color="auto" w:fill="E1DFDD"/>
    </w:rPr>
  </w:style>
  <w:style w:type="paragraph" w:styleId="stBilgi">
    <w:name w:val="header"/>
    <w:basedOn w:val="Normal"/>
    <w:link w:val="stBilgiChar"/>
    <w:uiPriority w:val="99"/>
    <w:unhideWhenUsed/>
    <w:rsid w:val="009559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59E3"/>
  </w:style>
  <w:style w:type="paragraph" w:styleId="AltBilgi">
    <w:name w:val="footer"/>
    <w:basedOn w:val="Normal"/>
    <w:link w:val="AltBilgiChar"/>
    <w:uiPriority w:val="99"/>
    <w:unhideWhenUsed/>
    <w:rsid w:val="009559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59E3"/>
  </w:style>
  <w:style w:type="paragraph" w:styleId="NormalWeb">
    <w:name w:val="Normal (Web)"/>
    <w:basedOn w:val="Normal"/>
    <w:uiPriority w:val="99"/>
    <w:semiHidden/>
    <w:unhideWhenUsed/>
    <w:rsid w:val="00F23ABA"/>
    <w:rPr>
      <w:rFonts w:ascii="Times New Roman" w:hAnsi="Times New Roman" w:cs="Times New Roman"/>
    </w:rPr>
  </w:style>
  <w:style w:type="character" w:styleId="zlenenKpr">
    <w:name w:val="FollowedHyperlink"/>
    <w:basedOn w:val="VarsaylanParagrafYazTipi"/>
    <w:uiPriority w:val="99"/>
    <w:semiHidden/>
    <w:unhideWhenUsed/>
    <w:rsid w:val="00E400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C9492-C89C-4070-9EE7-08048CA69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1820</Words>
  <Characters>13239</Characters>
  <Application>Microsoft Office Word</Application>
  <DocSecurity>0</DocSecurity>
  <Lines>194</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Egemen Tanrikulu</dc:creator>
  <cp:keywords/>
  <dc:description/>
  <cp:lastModifiedBy>Cennet Bebek</cp:lastModifiedBy>
  <cp:revision>2</cp:revision>
  <dcterms:created xsi:type="dcterms:W3CDTF">2026-05-08T10:31:00Z</dcterms:created>
  <dcterms:modified xsi:type="dcterms:W3CDTF">2026-05-08T10:31:00Z</dcterms:modified>
</cp:coreProperties>
</file>